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2B8FB621" w:rsidR="00B95F6E" w:rsidRDefault="00F12D3A" w:rsidP="00F12D3A">
      <w:pPr>
        <w:pStyle w:val="Title"/>
        <w:rPr>
          <w:bCs/>
          <w:lang w:val="fr-FR"/>
        </w:rPr>
      </w:pPr>
      <w:bookmarkStart w:id="0" w:name="_Toc125278732"/>
      <w:bookmarkStart w:id="1" w:name="_CTVB00117ab4fa36ad44f2db44b175826e8a412"/>
      <w:bookmarkStart w:id="2" w:name="_CTVB0010f31106a1ae545e28ac947c1750fad6c"/>
      <w:bookmarkStart w:id="3" w:name="_CTVB0010f7839c73a2244a99488f72008bd7440"/>
      <w:bookmarkStart w:id="4" w:name="_Toc122431811"/>
      <w:bookmarkStart w:id="5" w:name="_Ref120533418"/>
      <w:bookmarkStart w:id="6" w:name="_Toc102983377"/>
      <w:bookmarkStart w:id="7" w:name="_Ref88742120"/>
      <w:bookmarkStart w:id="8" w:name="_CTVB001286b1b3bcfea4a5487f36a3713f9a792"/>
      <w:bookmarkStart w:id="9" w:name="_CTVB001fb60d57736f545888895babda8bd2a3c"/>
      <w:bookmarkStart w:id="10" w:name="_Ref98852688"/>
      <w:bookmarkStart w:id="11" w:name="_Ref95138210"/>
      <w:bookmarkStart w:id="12" w:name="_Ref95138207"/>
      <w:bookmarkStart w:id="13" w:name="_Toc95135762"/>
      <w:bookmarkStart w:id="14" w:name="_Ref92730960"/>
      <w:bookmarkStart w:id="15" w:name="_Ref92730950"/>
      <w:bookmarkStart w:id="16" w:name="_Toc88829494"/>
      <w:bookmarkStart w:id="17" w:name="_Toc59185973"/>
      <w:bookmarkStart w:id="18" w:name="_Toc59185972"/>
      <w:bookmarkStart w:id="19" w:name="_Toc77684271"/>
      <w:bookmarkStart w:id="20" w:name="_Toc78810174"/>
      <w:bookmarkStart w:id="21" w:name="_Hlk122421447"/>
      <w:r w:rsidRPr="00BA495E">
        <w:rPr>
          <w:lang w:val="fr-FR"/>
        </w:rPr>
        <w:t>Consultation Questionnaire Exemption</w:t>
      </w:r>
      <w:r>
        <w:rPr>
          <w:bCs/>
          <w:lang w:val="fr-FR"/>
        </w:rPr>
        <w:t xml:space="preserve"> </w:t>
      </w:r>
      <w:r w:rsidR="006616CA">
        <w:rPr>
          <w:bCs/>
          <w:lang w:val="fr-FR"/>
        </w:rPr>
        <w:t>8(b)</w:t>
      </w:r>
      <w:r>
        <w:rPr>
          <w:bCs/>
          <w:lang w:val="fr-FR"/>
        </w:rPr>
        <w:t xml:space="preserve"> </w:t>
      </w:r>
      <w:r w:rsidRPr="00BA495E">
        <w:rPr>
          <w:lang w:val="fr-FR"/>
        </w:rPr>
        <w:t>of RoHS Annex</w:t>
      </w:r>
      <w:r>
        <w:rPr>
          <w:lang w:val="fr-FR"/>
        </w:rPr>
        <w:t> </w:t>
      </w:r>
      <w:r>
        <w:rPr>
          <w:bCs/>
          <w:lang w:val="fr-FR"/>
        </w:rPr>
        <w:t>III</w:t>
      </w:r>
    </w:p>
    <w:p w14:paraId="4BF4DD02" w14:textId="2E03B5DA" w:rsidR="00AD000B" w:rsidRDefault="00AD000B" w:rsidP="00AD000B">
      <w:pPr>
        <w:pStyle w:val="SubTitle1"/>
        <w:rPr>
          <w:lang w:val="fr-FR"/>
        </w:rPr>
      </w:pPr>
    </w:p>
    <w:p w14:paraId="130D1F5B" w14:textId="5D5A9429" w:rsidR="00FD26B0" w:rsidRPr="00CD7699" w:rsidRDefault="00FD26B0" w:rsidP="00FD26B0">
      <w:pPr>
        <w:pStyle w:val="Caption"/>
      </w:pPr>
      <w:bookmarkStart w:id="22" w:name="_Ref144114586"/>
      <w:bookmarkEnd w:id="0"/>
      <w:r w:rsidRPr="00CD7699">
        <w:t xml:space="preserve">Table </w:t>
      </w:r>
      <w:r w:rsidRPr="00CD7699">
        <w:fldChar w:fldCharType="begin"/>
      </w:r>
      <w:r w:rsidRPr="00CD7699">
        <w:instrText xml:space="preserve"> SEQ Table \* ARABIC </w:instrText>
      </w:r>
      <w:r w:rsidRPr="00CD7699">
        <w:fldChar w:fldCharType="separate"/>
      </w:r>
      <w:r w:rsidR="00C24D2D">
        <w:rPr>
          <w:noProof/>
        </w:rPr>
        <w:t>1</w:t>
      </w:r>
      <w:r w:rsidRPr="00CD7699">
        <w:fldChar w:fldCharType="end"/>
      </w:r>
      <w:bookmarkEnd w:id="22"/>
      <w:r w:rsidRPr="00CD7699">
        <w:t>: Currently valid wording of the exemption III-8(b) series</w:t>
      </w:r>
    </w:p>
    <w:tbl>
      <w:tblPr>
        <w:tblStyle w:val="DocumentTable3"/>
        <w:tblW w:w="8361" w:type="dxa"/>
        <w:tblBorders>
          <w:insideH w:val="single" w:sz="4" w:space="0" w:color="auto"/>
          <w:insideV w:val="single" w:sz="4" w:space="0" w:color="auto"/>
        </w:tblBorders>
        <w:tblLook w:val="04A0" w:firstRow="1" w:lastRow="0" w:firstColumn="1" w:lastColumn="0" w:noHBand="0" w:noVBand="1"/>
      </w:tblPr>
      <w:tblGrid>
        <w:gridCol w:w="761"/>
        <w:gridCol w:w="4077"/>
        <w:gridCol w:w="3523"/>
      </w:tblGrid>
      <w:tr w:rsidR="00FD26B0" w:rsidRPr="00CD7699" w14:paraId="3BC98054" w14:textId="77777777" w:rsidTr="00DC4883">
        <w:trPr>
          <w:cnfStyle w:val="100000000000" w:firstRow="1" w:lastRow="0" w:firstColumn="0" w:lastColumn="0" w:oddVBand="0" w:evenVBand="0" w:oddHBand="0" w:evenHBand="0" w:firstRowFirstColumn="0" w:firstRowLastColumn="0" w:lastRowFirstColumn="0" w:lastRowLastColumn="0"/>
        </w:trPr>
        <w:tc>
          <w:tcPr>
            <w:tcW w:w="706" w:type="dxa"/>
            <w:tcBorders>
              <w:top w:val="single" w:sz="4" w:space="0" w:color="auto"/>
              <w:left w:val="single" w:sz="4" w:space="0" w:color="FFFFFF"/>
              <w:bottom w:val="single" w:sz="4" w:space="0" w:color="auto"/>
              <w:right w:val="nil"/>
            </w:tcBorders>
          </w:tcPr>
          <w:p w14:paraId="79789E67" w14:textId="77777777" w:rsidR="00FD26B0" w:rsidRPr="00CD7699" w:rsidRDefault="00FD26B0" w:rsidP="00DC4883">
            <w:pPr>
              <w:spacing w:after="160" w:line="264" w:lineRule="auto"/>
              <w:rPr>
                <w:rFonts w:ascii="Arial" w:hAnsi="Arial" w:cs="Arial"/>
                <w:sz w:val="22"/>
                <w:lang w:eastAsia="nl-BE"/>
              </w:rPr>
            </w:pPr>
            <w:r w:rsidRPr="00CD7699">
              <w:rPr>
                <w:rFonts w:ascii="Arial" w:hAnsi="Arial" w:cs="Arial"/>
                <w:sz w:val="22"/>
                <w:lang w:eastAsia="nl-BE"/>
              </w:rPr>
              <w:t>No.</w:t>
            </w:r>
          </w:p>
        </w:tc>
        <w:tc>
          <w:tcPr>
            <w:tcW w:w="4109" w:type="dxa"/>
            <w:tcBorders>
              <w:top w:val="single" w:sz="4" w:space="0" w:color="auto"/>
              <w:left w:val="nil"/>
              <w:bottom w:val="single" w:sz="4" w:space="0" w:color="auto"/>
              <w:right w:val="nil"/>
            </w:tcBorders>
            <w:hideMark/>
          </w:tcPr>
          <w:p w14:paraId="2361C60A" w14:textId="77777777" w:rsidR="00FD26B0" w:rsidRPr="00CD7699" w:rsidRDefault="00FD26B0" w:rsidP="00DC4883">
            <w:pPr>
              <w:spacing w:after="160" w:line="264" w:lineRule="auto"/>
              <w:rPr>
                <w:rFonts w:ascii="Arial" w:hAnsi="Arial" w:cs="Arial"/>
                <w:sz w:val="22"/>
                <w:lang w:eastAsia="nl-BE"/>
              </w:rPr>
            </w:pPr>
            <w:r w:rsidRPr="00CD7699">
              <w:rPr>
                <w:rFonts w:ascii="Arial" w:hAnsi="Arial" w:cs="Arial"/>
                <w:sz w:val="22"/>
                <w:lang w:eastAsia="nl-BE"/>
              </w:rPr>
              <w:t>Current exemption wording</w:t>
            </w:r>
          </w:p>
        </w:tc>
        <w:tc>
          <w:tcPr>
            <w:tcW w:w="3546" w:type="dxa"/>
            <w:tcBorders>
              <w:top w:val="single" w:sz="4" w:space="0" w:color="auto"/>
              <w:left w:val="nil"/>
              <w:bottom w:val="single" w:sz="4" w:space="0" w:color="auto"/>
              <w:right w:val="single" w:sz="4" w:space="0" w:color="FFFFFF"/>
            </w:tcBorders>
            <w:hideMark/>
          </w:tcPr>
          <w:p w14:paraId="78F72168" w14:textId="77777777" w:rsidR="00FD26B0" w:rsidRPr="00CD7699" w:rsidRDefault="00FD26B0" w:rsidP="00DC4883">
            <w:pPr>
              <w:spacing w:after="160" w:line="264" w:lineRule="auto"/>
              <w:rPr>
                <w:rFonts w:ascii="Arial" w:hAnsi="Arial" w:cs="Arial"/>
                <w:sz w:val="22"/>
                <w:lang w:eastAsia="nl-BE"/>
              </w:rPr>
            </w:pPr>
            <w:r w:rsidRPr="00CD7699">
              <w:rPr>
                <w:rFonts w:ascii="Arial" w:hAnsi="Arial" w:cs="Arial"/>
                <w:sz w:val="22"/>
                <w:lang w:eastAsia="nl-BE"/>
              </w:rPr>
              <w:t>Current scope and dates of applicability</w:t>
            </w:r>
          </w:p>
        </w:tc>
      </w:tr>
      <w:tr w:rsidR="00FD26B0" w:rsidRPr="00CD7699" w14:paraId="23D58277" w14:textId="77777777" w:rsidTr="00DC4883">
        <w:tc>
          <w:tcPr>
            <w:tcW w:w="706" w:type="dxa"/>
            <w:tcBorders>
              <w:top w:val="single" w:sz="4" w:space="0" w:color="auto"/>
              <w:left w:val="single" w:sz="4" w:space="0" w:color="FFFFFF"/>
              <w:bottom w:val="single" w:sz="4" w:space="0" w:color="auto"/>
              <w:right w:val="single" w:sz="4" w:space="0" w:color="auto"/>
            </w:tcBorders>
            <w:shd w:val="clear" w:color="auto" w:fill="auto"/>
          </w:tcPr>
          <w:p w14:paraId="3C4CDF92" w14:textId="77777777" w:rsidR="00FD26B0" w:rsidRPr="00CD7699" w:rsidRDefault="00FD26B0" w:rsidP="00A26DBB">
            <w:pPr>
              <w:pStyle w:val="0ExemptionWording"/>
              <w:rPr>
                <w:lang w:eastAsia="nl-BE"/>
              </w:rPr>
            </w:pPr>
            <w:r w:rsidRPr="00CD7699">
              <w:t>III-8(b)</w:t>
            </w:r>
          </w:p>
        </w:tc>
        <w:tc>
          <w:tcPr>
            <w:tcW w:w="4109" w:type="dxa"/>
            <w:tcBorders>
              <w:top w:val="single" w:sz="4" w:space="0" w:color="auto"/>
              <w:left w:val="single" w:sz="4" w:space="0" w:color="auto"/>
              <w:bottom w:val="single" w:sz="4" w:space="0" w:color="auto"/>
              <w:right w:val="single" w:sz="4" w:space="0" w:color="auto"/>
            </w:tcBorders>
            <w:shd w:val="clear" w:color="auto" w:fill="auto"/>
          </w:tcPr>
          <w:p w14:paraId="6C29C1B2" w14:textId="77777777" w:rsidR="00FD26B0" w:rsidRPr="00CD7699" w:rsidRDefault="00FD26B0" w:rsidP="00DC4883">
            <w:pPr>
              <w:pStyle w:val="0ExemptionWording"/>
              <w:rPr>
                <w:lang w:val="en-GB"/>
              </w:rPr>
            </w:pPr>
            <w:r w:rsidRPr="00CD7699">
              <w:rPr>
                <w:lang w:val="en-GB"/>
              </w:rPr>
              <w:t>Cadmium and its compounds in electrical contacts</w:t>
            </w:r>
          </w:p>
        </w:tc>
        <w:tc>
          <w:tcPr>
            <w:tcW w:w="3546" w:type="dxa"/>
            <w:tcBorders>
              <w:top w:val="single" w:sz="4" w:space="0" w:color="auto"/>
              <w:left w:val="single" w:sz="4" w:space="0" w:color="auto"/>
              <w:bottom w:val="single" w:sz="4" w:space="0" w:color="auto"/>
              <w:right w:val="single" w:sz="4" w:space="0" w:color="FFFFFF"/>
            </w:tcBorders>
            <w:shd w:val="clear" w:color="auto" w:fill="auto"/>
          </w:tcPr>
          <w:p w14:paraId="18F8CBD1" w14:textId="77777777" w:rsidR="00FD26B0" w:rsidRPr="00CD7699" w:rsidRDefault="00FD26B0" w:rsidP="00DC4883">
            <w:pPr>
              <w:pStyle w:val="0ExemptionWording"/>
              <w:rPr>
                <w:lang w:val="en-GB"/>
              </w:rPr>
            </w:pPr>
            <w:r w:rsidRPr="00CD7699">
              <w:rPr>
                <w:lang w:val="en-GB"/>
              </w:rPr>
              <w:t>Applies to categories 8, 9 and 11.</w:t>
            </w:r>
          </w:p>
          <w:p w14:paraId="1BAFD809" w14:textId="77777777" w:rsidR="00FD26B0" w:rsidRPr="00CD7699" w:rsidRDefault="00FD26B0" w:rsidP="00DC4883">
            <w:pPr>
              <w:pStyle w:val="0ExemptionWording"/>
              <w:rPr>
                <w:lang w:val="en-GB"/>
              </w:rPr>
            </w:pPr>
            <w:r w:rsidRPr="00CD7699">
              <w:rPr>
                <w:lang w:val="en-GB"/>
              </w:rPr>
              <w:t>Expires on</w:t>
            </w:r>
          </w:p>
          <w:p w14:paraId="43FF9335" w14:textId="77777777" w:rsidR="00FD26B0" w:rsidRPr="00CD7699" w:rsidRDefault="00FD26B0" w:rsidP="00FD26B0">
            <w:pPr>
              <w:pStyle w:val="-ExemptionWording"/>
              <w:ind w:left="429"/>
            </w:pPr>
            <w:r w:rsidRPr="00CD7699">
              <w:t>21 July 2021 for categories 8 other than in vitro diagnostic medical devices and for cat. 9 other than industrial monitoring and control instruments;</w:t>
            </w:r>
          </w:p>
          <w:p w14:paraId="3EBF2C19" w14:textId="77777777" w:rsidR="00FD26B0" w:rsidRPr="00CD7699" w:rsidRDefault="00FD26B0" w:rsidP="00FD26B0">
            <w:pPr>
              <w:pStyle w:val="-ExemptionWording"/>
              <w:ind w:left="429"/>
            </w:pPr>
            <w:r w:rsidRPr="00CD7699">
              <w:t>21 July 2023 for category 8 in vitro diagnostic medical devices;</w:t>
            </w:r>
          </w:p>
          <w:p w14:paraId="470B9EBD" w14:textId="77777777" w:rsidR="00FD26B0" w:rsidRPr="00CD7699" w:rsidRDefault="00FD26B0" w:rsidP="00FD26B0">
            <w:pPr>
              <w:pStyle w:val="-ExemptionWording"/>
              <w:ind w:left="429"/>
            </w:pPr>
            <w:r w:rsidRPr="00CD7699">
              <w:t>21 July 2024 for category 9 industrial monitoring and control instruments, and for category 11.</w:t>
            </w:r>
          </w:p>
        </w:tc>
      </w:tr>
      <w:tr w:rsidR="00FD26B0" w:rsidRPr="00CD7699" w14:paraId="277ECE8A" w14:textId="77777777" w:rsidTr="00DC4883">
        <w:tc>
          <w:tcPr>
            <w:tcW w:w="706" w:type="dxa"/>
            <w:tcBorders>
              <w:top w:val="single" w:sz="4" w:space="0" w:color="auto"/>
              <w:left w:val="single" w:sz="4" w:space="0" w:color="FFFFFF"/>
              <w:bottom w:val="single" w:sz="4" w:space="0" w:color="auto"/>
              <w:right w:val="single" w:sz="4" w:space="0" w:color="auto"/>
            </w:tcBorders>
            <w:shd w:val="clear" w:color="auto" w:fill="auto"/>
          </w:tcPr>
          <w:p w14:paraId="50FAE5D9" w14:textId="77777777" w:rsidR="00FD26B0" w:rsidRPr="00CD7699" w:rsidRDefault="00FD26B0" w:rsidP="00A26DBB">
            <w:pPr>
              <w:pStyle w:val="0ExemptionWording"/>
            </w:pPr>
            <w:r w:rsidRPr="00CD7699">
              <w:t>III-8(b)(I)</w:t>
            </w:r>
          </w:p>
        </w:tc>
        <w:tc>
          <w:tcPr>
            <w:tcW w:w="4109" w:type="dxa"/>
            <w:tcBorders>
              <w:top w:val="single" w:sz="4" w:space="0" w:color="auto"/>
              <w:left w:val="single" w:sz="4" w:space="0" w:color="auto"/>
              <w:bottom w:val="single" w:sz="4" w:space="0" w:color="auto"/>
              <w:right w:val="single" w:sz="4" w:space="0" w:color="auto"/>
            </w:tcBorders>
            <w:shd w:val="clear" w:color="auto" w:fill="auto"/>
          </w:tcPr>
          <w:p w14:paraId="44508EC6" w14:textId="77777777" w:rsidR="00FD26B0" w:rsidRPr="00CD7699" w:rsidRDefault="00FD26B0" w:rsidP="00DC4883">
            <w:pPr>
              <w:pStyle w:val="0ExemptionWording"/>
              <w:rPr>
                <w:lang w:val="en-GB"/>
              </w:rPr>
            </w:pPr>
            <w:r w:rsidRPr="00CD7699">
              <w:rPr>
                <w:lang w:val="en-GB"/>
              </w:rPr>
              <w:t>Cadmium and its compounds in electrical contacts used in:</w:t>
            </w:r>
          </w:p>
          <w:p w14:paraId="61820CB5" w14:textId="77777777" w:rsidR="00FD26B0" w:rsidRPr="00CD7699" w:rsidRDefault="00FD26B0" w:rsidP="00FD26B0">
            <w:pPr>
              <w:pStyle w:val="-ExemptionWording"/>
              <w:ind w:left="429"/>
            </w:pPr>
            <w:r w:rsidRPr="00CD7699">
              <w:t xml:space="preserve">circuit breakers, </w:t>
            </w:r>
          </w:p>
          <w:p w14:paraId="552E603B" w14:textId="77777777" w:rsidR="00FD26B0" w:rsidRPr="00CD7699" w:rsidRDefault="00FD26B0" w:rsidP="00FD26B0">
            <w:pPr>
              <w:pStyle w:val="-ExemptionWording"/>
              <w:ind w:left="429"/>
            </w:pPr>
            <w:r w:rsidRPr="00CD7699">
              <w:t>thermal sensing controls,</w:t>
            </w:r>
          </w:p>
          <w:p w14:paraId="6F2EA786" w14:textId="77777777" w:rsidR="00FD26B0" w:rsidRPr="00CD7699" w:rsidRDefault="00FD26B0" w:rsidP="00FD26B0">
            <w:pPr>
              <w:pStyle w:val="-ExemptionWording"/>
              <w:ind w:left="429"/>
            </w:pPr>
            <w:r w:rsidRPr="00CD7699">
              <w:t>thermal motor protectors (excluding hermetic thermal motor protectors)</w:t>
            </w:r>
          </w:p>
          <w:p w14:paraId="6BDDB5B0" w14:textId="77777777" w:rsidR="00FD26B0" w:rsidRPr="00CD7699" w:rsidRDefault="00FD26B0" w:rsidP="00FD26B0">
            <w:pPr>
              <w:pStyle w:val="-ExemptionWording"/>
              <w:ind w:left="429"/>
            </w:pPr>
            <w:r w:rsidRPr="00CD7699">
              <w:t xml:space="preserve">AC switches rated at: </w:t>
            </w:r>
          </w:p>
          <w:p w14:paraId="33902470" w14:textId="77777777" w:rsidR="00FD26B0" w:rsidRPr="00CD7699" w:rsidRDefault="00FD26B0" w:rsidP="00FD26B0">
            <w:pPr>
              <w:pStyle w:val="-ExemptionWording"/>
              <w:ind w:left="429"/>
            </w:pPr>
            <w:r w:rsidRPr="00CD7699">
              <w:t xml:space="preserve">6 A and more at 250 V AC and more, or </w:t>
            </w:r>
          </w:p>
          <w:p w14:paraId="3BD2AE23" w14:textId="77777777" w:rsidR="00FD26B0" w:rsidRPr="00CD7699" w:rsidRDefault="00FD26B0" w:rsidP="00FD26B0">
            <w:pPr>
              <w:pStyle w:val="-ExemptionWording"/>
              <w:ind w:left="429"/>
            </w:pPr>
            <w:r w:rsidRPr="00CD7699">
              <w:t>12 A and more at 125 V AC and more</w:t>
            </w:r>
          </w:p>
          <w:p w14:paraId="1C6F3934" w14:textId="77777777" w:rsidR="00FD26B0" w:rsidRPr="00CD7699" w:rsidRDefault="00FD26B0" w:rsidP="00FD26B0">
            <w:pPr>
              <w:pStyle w:val="-ExemptionWording"/>
              <w:ind w:left="429"/>
            </w:pPr>
            <w:r w:rsidRPr="00CD7699">
              <w:t>DC switches rated at 20 A and more at 18 V DC and more, and</w:t>
            </w:r>
          </w:p>
          <w:p w14:paraId="71F2341D" w14:textId="77777777" w:rsidR="00FD26B0" w:rsidRPr="00CD7699" w:rsidRDefault="00FD26B0" w:rsidP="00FD26B0">
            <w:pPr>
              <w:pStyle w:val="-ExemptionWording"/>
              <w:ind w:left="429"/>
            </w:pPr>
            <w:r w:rsidRPr="00CD7699">
              <w:t>switches for use at voltage supply frequency ≥ 200 Hz</w:t>
            </w:r>
          </w:p>
        </w:tc>
        <w:tc>
          <w:tcPr>
            <w:tcW w:w="3546" w:type="dxa"/>
            <w:tcBorders>
              <w:top w:val="single" w:sz="4" w:space="0" w:color="auto"/>
              <w:left w:val="single" w:sz="4" w:space="0" w:color="auto"/>
              <w:bottom w:val="single" w:sz="4" w:space="0" w:color="auto"/>
              <w:right w:val="single" w:sz="4" w:space="0" w:color="FFFFFF"/>
            </w:tcBorders>
            <w:shd w:val="clear" w:color="auto" w:fill="auto"/>
          </w:tcPr>
          <w:p w14:paraId="73C62D86" w14:textId="77777777" w:rsidR="00FD26B0" w:rsidRPr="00CD7699" w:rsidRDefault="00FD26B0" w:rsidP="00DC4883">
            <w:pPr>
              <w:pStyle w:val="0ExemptionWording"/>
              <w:rPr>
                <w:lang w:val="en-GB"/>
              </w:rPr>
            </w:pPr>
            <w:r w:rsidRPr="00CD7699">
              <w:rPr>
                <w:lang w:val="en-GB"/>
              </w:rPr>
              <w:t>Applies to categories 1 to 7 and 10.</w:t>
            </w:r>
          </w:p>
          <w:p w14:paraId="14CD6A97" w14:textId="77777777" w:rsidR="00FD26B0" w:rsidRPr="00CD7699" w:rsidRDefault="00FD26B0" w:rsidP="00DC4883">
            <w:pPr>
              <w:pStyle w:val="0ExemptionWording"/>
              <w:rPr>
                <w:lang w:val="en-GB"/>
              </w:rPr>
            </w:pPr>
            <w:r w:rsidRPr="00CD7699">
              <w:rPr>
                <w:lang w:val="en-GB"/>
              </w:rPr>
              <w:t>Expires on 21 July 2021 for categories 1 to 7 and 10.</w:t>
            </w:r>
          </w:p>
        </w:tc>
      </w:tr>
    </w:tbl>
    <w:p w14:paraId="46C65A00" w14:textId="77777777" w:rsidR="00FD26B0" w:rsidRPr="00CD7699" w:rsidRDefault="00FD26B0" w:rsidP="00FD26B0">
      <w:pPr>
        <w:pStyle w:val="Headline1"/>
        <w:numPr>
          <w:ilvl w:val="0"/>
          <w:numId w:val="0"/>
        </w:numPr>
        <w:rPr>
          <w:rStyle w:val="Standard1"/>
          <w:szCs w:val="22"/>
        </w:rPr>
      </w:pPr>
      <w:r w:rsidRPr="00CD7699">
        <w:rPr>
          <w:rStyle w:val="Standard1"/>
          <w:szCs w:val="22"/>
        </w:rPr>
        <w:t>Acronyms and Definitions</w:t>
      </w:r>
    </w:p>
    <w:p w14:paraId="427791FC" w14:textId="77777777" w:rsidR="00FD26B0" w:rsidRPr="00CD7699" w:rsidRDefault="00FD26B0" w:rsidP="00FD26B0">
      <w:pPr>
        <w:ind w:left="1985" w:hanging="1985"/>
        <w:rPr>
          <w:rStyle w:val="Standard1"/>
          <w:lang w:eastAsia="fr-FR"/>
        </w:rPr>
      </w:pPr>
      <w:bookmarkStart w:id="23" w:name="_Hlk143794365"/>
      <w:r w:rsidRPr="00CD7699">
        <w:rPr>
          <w:rStyle w:val="Standard1"/>
          <w:lang w:eastAsia="fr-FR"/>
        </w:rPr>
        <w:t>Cadmium-free</w:t>
      </w:r>
      <w:r w:rsidRPr="00CD7699">
        <w:rPr>
          <w:rStyle w:val="Standard1"/>
          <w:lang w:eastAsia="fr-FR"/>
        </w:rPr>
        <w:tab/>
        <w:t>Not containing lead (Pb) in the applications in scope of the exemption to be reviewed.</w:t>
      </w:r>
    </w:p>
    <w:p w14:paraId="00283E2D" w14:textId="77777777" w:rsidR="00FD26B0" w:rsidRPr="00CD7699" w:rsidRDefault="00FD26B0" w:rsidP="00FD26B0">
      <w:pPr>
        <w:ind w:left="1985" w:hanging="1985"/>
        <w:rPr>
          <w:rStyle w:val="Standard1"/>
          <w:lang w:eastAsia="fr-FR"/>
        </w:rPr>
      </w:pPr>
      <w:r w:rsidRPr="00CD7699">
        <w:rPr>
          <w:rStyle w:val="Standard1"/>
          <w:lang w:eastAsia="fr-FR"/>
        </w:rPr>
        <w:lastRenderedPageBreak/>
        <w:t>Cat.</w:t>
      </w:r>
      <w:r w:rsidRPr="00CD7699">
        <w:rPr>
          <w:rStyle w:val="Standard1"/>
          <w:lang w:eastAsia="fr-FR"/>
        </w:rPr>
        <w:tab/>
        <w:t>Category, referring to the categories of EEE specified in Annex I of the current RoHS Directive 2011/65/EU</w:t>
      </w:r>
    </w:p>
    <w:p w14:paraId="22E5FEB8" w14:textId="77777777" w:rsidR="00FD26B0" w:rsidRPr="00CD7699" w:rsidRDefault="00FD26B0" w:rsidP="00FD26B0">
      <w:pPr>
        <w:ind w:left="1985" w:hanging="1985"/>
        <w:rPr>
          <w:rStyle w:val="Standard1"/>
          <w:lang w:eastAsia="fr-FR"/>
        </w:rPr>
      </w:pPr>
      <w:r w:rsidRPr="00CD7699">
        <w:rPr>
          <w:rStyle w:val="Standard1"/>
          <w:lang w:eastAsia="fr-FR"/>
        </w:rPr>
        <w:t>Cd</w:t>
      </w:r>
      <w:r w:rsidRPr="00CD7699">
        <w:rPr>
          <w:rStyle w:val="Standard1"/>
          <w:lang w:eastAsia="fr-FR"/>
        </w:rPr>
        <w:tab/>
        <w:t>Cadmium</w:t>
      </w:r>
    </w:p>
    <w:p w14:paraId="6C699F6D" w14:textId="77777777" w:rsidR="00FD26B0" w:rsidRPr="00CD7699" w:rsidRDefault="00FD26B0" w:rsidP="00FD26B0">
      <w:pPr>
        <w:ind w:left="1985" w:hanging="1985"/>
        <w:rPr>
          <w:rStyle w:val="Standard1"/>
          <w:lang w:eastAsia="fr-FR"/>
        </w:rPr>
      </w:pPr>
      <w:r w:rsidRPr="00CD7699">
        <w:rPr>
          <w:rStyle w:val="Standard1"/>
          <w:lang w:eastAsia="fr-FR"/>
        </w:rPr>
        <w:t>COM</w:t>
      </w:r>
      <w:r w:rsidRPr="00CD7699">
        <w:rPr>
          <w:rStyle w:val="Standard1"/>
          <w:lang w:eastAsia="fr-FR"/>
        </w:rPr>
        <w:tab/>
        <w:t>European Commission</w:t>
      </w:r>
    </w:p>
    <w:p w14:paraId="2B1604DF" w14:textId="77777777" w:rsidR="00FD26B0" w:rsidRPr="00CD7699" w:rsidRDefault="00FD26B0" w:rsidP="00FD26B0">
      <w:pPr>
        <w:ind w:left="1985" w:hanging="1985"/>
        <w:rPr>
          <w:rStyle w:val="Standard1"/>
          <w:lang w:eastAsia="fr-FR"/>
        </w:rPr>
      </w:pPr>
      <w:r w:rsidRPr="00CD7699">
        <w:rPr>
          <w:rStyle w:val="Standard1"/>
          <w:lang w:eastAsia="fr-FR"/>
        </w:rPr>
        <w:t>EEA</w:t>
      </w:r>
      <w:r w:rsidRPr="00CD7699">
        <w:rPr>
          <w:rStyle w:val="Standard1"/>
          <w:lang w:eastAsia="fr-FR"/>
        </w:rPr>
        <w:tab/>
        <w:t>European Economic Area (EU 27 + Iceland, Liechtenstein and Norway)</w:t>
      </w:r>
    </w:p>
    <w:p w14:paraId="06C5A4A0" w14:textId="77777777" w:rsidR="00FD26B0" w:rsidRPr="00CD7699" w:rsidRDefault="00FD26B0" w:rsidP="00FD26B0">
      <w:pPr>
        <w:ind w:left="1985" w:hanging="1985"/>
        <w:rPr>
          <w:rStyle w:val="Standard1"/>
          <w:lang w:eastAsia="fr-FR"/>
        </w:rPr>
      </w:pPr>
      <w:r w:rsidRPr="00CD7699">
        <w:rPr>
          <w:rStyle w:val="Standard1"/>
          <w:lang w:eastAsia="fr-FR"/>
        </w:rPr>
        <w:t>EEE</w:t>
      </w:r>
      <w:r w:rsidRPr="00CD7699">
        <w:rPr>
          <w:rStyle w:val="Standard1"/>
          <w:lang w:eastAsia="fr-FR"/>
        </w:rPr>
        <w:tab/>
        <w:t>Electrical and electronic equipment</w:t>
      </w:r>
    </w:p>
    <w:p w14:paraId="674937C8" w14:textId="77777777" w:rsidR="00FD26B0" w:rsidRPr="00CD7699" w:rsidRDefault="00FD26B0" w:rsidP="00FD26B0">
      <w:pPr>
        <w:ind w:left="1985" w:hanging="1985"/>
        <w:rPr>
          <w:rStyle w:val="Standard1"/>
          <w:lang w:eastAsia="fr-FR"/>
        </w:rPr>
      </w:pPr>
      <w:r w:rsidRPr="00CD7699">
        <w:rPr>
          <w:rStyle w:val="Standard1"/>
          <w:lang w:eastAsia="fr-FR"/>
        </w:rPr>
        <w:t>EU</w:t>
      </w:r>
      <w:r w:rsidRPr="00CD7699">
        <w:rPr>
          <w:rStyle w:val="Standard1"/>
          <w:lang w:eastAsia="fr-FR"/>
        </w:rPr>
        <w:tab/>
        <w:t>European Union</w:t>
      </w:r>
    </w:p>
    <w:p w14:paraId="7EEDF38E" w14:textId="77777777" w:rsidR="00FD26B0" w:rsidRPr="00CD7699" w:rsidRDefault="00FD26B0" w:rsidP="00FD26B0">
      <w:pPr>
        <w:ind w:left="1985" w:hanging="1985"/>
        <w:rPr>
          <w:rStyle w:val="Standard1"/>
          <w:lang w:eastAsia="fr-FR"/>
        </w:rPr>
      </w:pPr>
      <w:r w:rsidRPr="00CD7699">
        <w:rPr>
          <w:rStyle w:val="Standard1"/>
          <w:lang w:eastAsia="fr-FR"/>
        </w:rPr>
        <w:t>IMCI</w:t>
      </w:r>
      <w:r w:rsidRPr="00CD7699">
        <w:rPr>
          <w:rStyle w:val="Standard1"/>
          <w:lang w:eastAsia="fr-FR"/>
        </w:rPr>
        <w:tab/>
        <w:t>Industrial monitoring and control instruments</w:t>
      </w:r>
    </w:p>
    <w:bookmarkEnd w:id="23"/>
    <w:p w14:paraId="7790FFF1" w14:textId="77777777" w:rsidR="00F12D3A" w:rsidRPr="00AD000B" w:rsidRDefault="00F12D3A" w:rsidP="00AD000B">
      <w:pPr>
        <w:pStyle w:val="Heading1"/>
        <w:spacing w:before="720" w:after="360"/>
        <w:rPr>
          <w:rStyle w:val="Standard1"/>
          <w:lang w:eastAsia="en-US"/>
        </w:rPr>
      </w:pPr>
      <w:r w:rsidRPr="00AD000B">
        <w:rPr>
          <w:rStyle w:val="Standard1"/>
          <w:lang w:eastAsia="en-US"/>
        </w:rPr>
        <w:t>Background and objectives of this review</w:t>
      </w:r>
    </w:p>
    <w:p w14:paraId="27E2DF33" w14:textId="77777777" w:rsidR="00204294" w:rsidRDefault="00204294" w:rsidP="00204294">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CB126B">
        <w:rPr>
          <w:rStyle w:val="FootnoteReference"/>
        </w:rPr>
        <w:footnoteReference w:id="2"/>
      </w:r>
      <w:r w:rsidRPr="001E7BFA">
        <w:rPr>
          <w:rStyle w:val="Standard1"/>
          <w:rFonts w:cs="Times New Roman"/>
          <w:lang w:eastAsia="en-US"/>
        </w:rPr>
        <w:t xml:space="preserve"> by the European Commission for the evaluation of applications for new exemptions and the renewal of exemptions currently listed in Annexes III and IV of the RoHS Directive 2011/65/EU.</w:t>
      </w:r>
    </w:p>
    <w:p w14:paraId="5E2C5D8E" w14:textId="390303AD" w:rsidR="001E7BFA" w:rsidRDefault="001E7BFA" w:rsidP="001E7BFA">
      <w:pPr>
        <w:pStyle w:val="0StandardConsultant"/>
        <w:rPr>
          <w:rStyle w:val="Standard1"/>
          <w:rFonts w:cs="Times New Roman"/>
          <w:lang w:eastAsia="en-US"/>
        </w:rPr>
      </w:pPr>
      <w:r w:rsidRPr="001E7BFA">
        <w:rPr>
          <w:rStyle w:val="Standard1"/>
          <w:rFonts w:cs="Times New Roman"/>
          <w:lang w:eastAsia="en-US"/>
        </w:rPr>
        <w:t xml:space="preserve">TMC requested the renewal of exemption </w:t>
      </w:r>
      <w:r w:rsidR="00FD26B0">
        <w:rPr>
          <w:rStyle w:val="Standard1"/>
          <w:rFonts w:cs="Times New Roman"/>
          <w:lang w:eastAsia="en-US"/>
        </w:rPr>
        <w:t>8(b)</w:t>
      </w:r>
      <w:r w:rsidRPr="001E7BFA">
        <w:rPr>
          <w:rStyle w:val="Standard1"/>
          <w:rFonts w:cs="Times New Roman"/>
          <w:lang w:eastAsia="en-US"/>
        </w:rPr>
        <w:t xml:space="preserve"> with its current wording for the maximum validity </w:t>
      </w:r>
      <w:r w:rsidR="00E74D9A">
        <w:rPr>
          <w:rStyle w:val="Standard1"/>
          <w:rFonts w:cs="Times New Roman"/>
          <w:lang w:eastAsia="en-US"/>
        </w:rPr>
        <w:t>of seven years</w:t>
      </w:r>
      <w:r w:rsidR="00230DD5">
        <w:rPr>
          <w:rStyle w:val="Standard1"/>
          <w:rFonts w:cs="Times New Roman"/>
          <w:lang w:eastAsia="en-US"/>
        </w:rPr>
        <w:t xml:space="preserve"> for cat. 9 industrial monitoring and control instruments (IMCI)</w:t>
      </w:r>
      <w:r w:rsidRPr="001E7BFA">
        <w:rPr>
          <w:rStyle w:val="Standard1"/>
          <w:rFonts w:cs="Times New Roman"/>
          <w:lang w:eastAsia="en-US"/>
        </w:rPr>
        <w:t xml:space="preserve">. </w:t>
      </w:r>
      <w:r w:rsidR="00D605BA">
        <w:rPr>
          <w:rStyle w:val="Standard1"/>
          <w:rFonts w:cs="Times New Roman"/>
          <w:lang w:eastAsia="en-US"/>
        </w:rPr>
        <w:t>The applicant w</w:t>
      </w:r>
      <w:r w:rsidR="007246DB">
        <w:rPr>
          <w:rStyle w:val="Standard1"/>
          <w:rFonts w:cs="Times New Roman"/>
          <w:lang w:eastAsia="en-US"/>
        </w:rPr>
        <w:t>as</w:t>
      </w:r>
      <w:r w:rsidR="00D605BA">
        <w:rPr>
          <w:rStyle w:val="Standard1"/>
          <w:rFonts w:cs="Times New Roman"/>
          <w:lang w:eastAsia="en-US"/>
        </w:rPr>
        <w:t xml:space="preserve"> requested to respond to </w:t>
      </w:r>
      <w:r w:rsidR="00FD26B0">
        <w:rPr>
          <w:rStyle w:val="Standard1"/>
          <w:rFonts w:cs="Times New Roman"/>
          <w:lang w:eastAsia="en-US"/>
        </w:rPr>
        <w:t xml:space="preserve">a </w:t>
      </w:r>
      <w:r w:rsidR="00D605BA">
        <w:rPr>
          <w:rStyle w:val="Standard1"/>
          <w:rFonts w:cs="Times New Roman"/>
          <w:lang w:eastAsia="en-US"/>
        </w:rPr>
        <w:t xml:space="preserve">clarification questionnaire prior to this stakeholder consultation to complete missing information. </w:t>
      </w:r>
      <w:r w:rsidR="00FA2805">
        <w:rPr>
          <w:rStyle w:val="Standard1"/>
          <w:rFonts w:cs="Times New Roman"/>
          <w:lang w:eastAsia="en-US"/>
        </w:rPr>
        <w:t>Th</w:t>
      </w:r>
      <w:r w:rsidR="007246DB">
        <w:rPr>
          <w:rStyle w:val="Standard1"/>
          <w:rFonts w:cs="Times New Roman"/>
          <w:lang w:eastAsia="en-US"/>
        </w:rPr>
        <w:t>is</w:t>
      </w:r>
      <w:r w:rsidR="00FA2805">
        <w:rPr>
          <w:rStyle w:val="Standard1"/>
          <w:rFonts w:cs="Times New Roman"/>
          <w:lang w:eastAsia="en-US"/>
        </w:rPr>
        <w:t xml:space="preserve"> </w:t>
      </w:r>
      <w:r w:rsidR="00FA2805">
        <w:rPr>
          <w:rStyle w:val="Standard1"/>
          <w:rFonts w:cs="Times New Roman"/>
          <w:noProof w:val="0"/>
          <w:lang w:eastAsia="en-US"/>
        </w:rPr>
        <w:t>questionnair</w:t>
      </w:r>
      <w:r w:rsidR="008461F4">
        <w:rPr>
          <w:rStyle w:val="Standard1"/>
          <w:rFonts w:cs="Times New Roman"/>
          <w:noProof w:val="0"/>
          <w:lang w:eastAsia="en-US"/>
        </w:rPr>
        <w:t>e</w:t>
      </w:r>
      <w:r w:rsidR="00FA2805">
        <w:rPr>
          <w:rStyle w:val="Standard1"/>
          <w:rFonts w:cs="Times New Roman"/>
          <w:lang w:eastAsia="en-US"/>
        </w:rPr>
        <w:t xml:space="preserve"> </w:t>
      </w:r>
      <w:r w:rsidR="00D605BA">
        <w:rPr>
          <w:rStyle w:val="Standard1"/>
          <w:rFonts w:cs="Times New Roman"/>
          <w:lang w:eastAsia="en-US"/>
        </w:rPr>
        <w:t xml:space="preserve">along with </w:t>
      </w:r>
      <w:r w:rsidR="00FA2805">
        <w:rPr>
          <w:rStyle w:val="Standard1"/>
          <w:rFonts w:cs="Times New Roman"/>
          <w:lang w:eastAsia="en-US"/>
        </w:rPr>
        <w:t xml:space="preserve">the exemption application and – if submitted - </w:t>
      </w:r>
      <w:r w:rsidR="00D605BA">
        <w:rPr>
          <w:rStyle w:val="Standard1"/>
          <w:rFonts w:cs="Times New Roman"/>
          <w:lang w:eastAsia="en-US"/>
        </w:rPr>
        <w:t xml:space="preserve">supporting </w:t>
      </w:r>
      <w:r w:rsidR="00FA2805">
        <w:rPr>
          <w:rStyle w:val="Standard1"/>
          <w:rFonts w:cs="Times New Roman"/>
          <w:lang w:eastAsia="en-US"/>
        </w:rPr>
        <w:t xml:space="preserve">evidence from other stakeholders are accessible on the </w:t>
      </w:r>
      <w:r w:rsidR="007246DB">
        <w:rPr>
          <w:rStyle w:val="Standard1"/>
          <w:rFonts w:cs="Times New Roman"/>
          <w:lang w:eastAsia="en-US"/>
        </w:rPr>
        <w:t xml:space="preserve">stakeholder </w:t>
      </w:r>
      <w:r w:rsidR="00FA2805">
        <w:rPr>
          <w:rStyle w:val="Standard1"/>
          <w:rFonts w:cs="Times New Roman"/>
          <w:lang w:eastAsia="en-US"/>
        </w:rPr>
        <w:t>consultation web page.</w:t>
      </w:r>
      <w:r w:rsidR="00B73840">
        <w:rPr>
          <w:rStyle w:val="FootnoteReference"/>
        </w:rPr>
        <w:footnoteReference w:id="3"/>
      </w:r>
      <w:r w:rsidR="00FA2805">
        <w:rPr>
          <w:rStyle w:val="Standard1"/>
          <w:rFonts w:cs="Times New Roman"/>
          <w:lang w:eastAsia="en-US"/>
        </w:rPr>
        <w:t xml:space="preserve"> </w:t>
      </w:r>
    </w:p>
    <w:p w14:paraId="4ECD4BF7" w14:textId="77777777" w:rsidR="00204294" w:rsidRDefault="00204294" w:rsidP="00204294">
      <w:pPr>
        <w:pStyle w:val="0StandardConsultant"/>
        <w:rPr>
          <w:rStyle w:val="Standard1"/>
          <w:rFonts w:cs="Times New Roman"/>
          <w:lang w:eastAsia="en-US"/>
        </w:rPr>
      </w:pPr>
      <w:r w:rsidRPr="001E7BFA">
        <w:rPr>
          <w:rStyle w:val="Standard1"/>
          <w:rFonts w:cs="Times New Roman"/>
          <w:lang w:eastAsia="en-US"/>
        </w:rPr>
        <w:t xml:space="preserve">The stakeholder consultation is part of the review process for the exemption request at hand. It addresses third parties – not the applicants – to </w:t>
      </w:r>
      <w:r>
        <w:rPr>
          <w:rStyle w:val="Standard1"/>
          <w:rFonts w:cs="Times New Roman"/>
          <w:lang w:eastAsia="en-US"/>
        </w:rPr>
        <w:t>provide</w:t>
      </w:r>
      <w:r w:rsidRPr="001E7BFA">
        <w:rPr>
          <w:rStyle w:val="Standard1"/>
          <w:rFonts w:cs="Times New Roman"/>
          <w:lang w:eastAsia="en-US"/>
        </w:rPr>
        <w:t xml:space="preserve"> and to evaluate information and evidence according to the criteria listed in Art. 5(1)(a) of Directive 2011/65/EU.</w:t>
      </w:r>
      <w:r w:rsidRPr="00D605BA">
        <w:rPr>
          <w:rStyle w:val="FootnoteReference"/>
        </w:rPr>
        <w:footnoteReference w:id="4"/>
      </w:r>
      <w:r w:rsidRPr="001E7BFA">
        <w:rPr>
          <w:rStyle w:val="Standard1"/>
          <w:rFonts w:cs="Times New Roman"/>
          <w:lang w:eastAsia="en-US"/>
        </w:rPr>
        <w:t xml:space="preserve"> </w:t>
      </w:r>
    </w:p>
    <w:p w14:paraId="43225A22" w14:textId="3F48B5C1" w:rsidR="00957347" w:rsidRDefault="00FD26B0" w:rsidP="00BE305A">
      <w:pPr>
        <w:pStyle w:val="0StandardConsultant"/>
        <w:rPr>
          <w:rFonts w:cs="Arial"/>
        </w:rPr>
      </w:pPr>
      <w:r>
        <w:t xml:space="preserve">Exemptions III-8(b) and III-8(b)(I) were </w:t>
      </w:r>
      <w:r w:rsidR="008461F4" w:rsidRPr="00827285">
        <w:t>reviewed by</w:t>
      </w:r>
      <w:bookmarkStart w:id="24" w:name="_Hlk143793887"/>
      <w:r w:rsidR="00B6685A">
        <w:t xml:space="preserve"> </w:t>
      </w:r>
      <w:sdt>
        <w:sdtPr>
          <w:rPr>
            <w:rStyle w:val="Standard1"/>
            <w:rFonts w:cs="Times New Roman"/>
            <w:lang w:eastAsia="fr-FR"/>
          </w:rPr>
          <w:alias w:val="To edit, see citavi.com/edit"/>
          <w:tag w:val="CitaviPlaceholder#0d82d8ed-a46b-4102-9c61-5f90db7c2cbd"/>
          <w:id w:val="-1049691160"/>
          <w:placeholder>
            <w:docPart w:val="62C108170A664336B30197F6098ECD7A"/>
          </w:placeholder>
        </w:sdtPr>
        <w:sdtEndPr>
          <w:rPr>
            <w:rStyle w:val="Standard1"/>
          </w:rPr>
        </w:sdtEndPr>
        <w:sdtContent>
          <w:r w:rsidR="00B6685A">
            <w:rPr>
              <w:rStyle w:val="Standard1"/>
              <w:rFonts w:cs="Times New Roman"/>
              <w:lang w:eastAsia="fr-FR"/>
            </w:rPr>
            <w:fldChar w:fldCharType="begin"/>
          </w:r>
          <w:r w:rsidR="00AC1DC6">
            <w:rPr>
              <w:rStyle w:val="Standard1"/>
              <w:rFonts w:cs="Times New Roman"/>
              <w:lang w:eastAsia="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YzYxMmZjLWM5OGUtNDdiNC05MjIyLWYzOWMzMmQxMGFiNyIsIlJhbmdlTGVuZ3RoIjoyMSwiUmVmZXJlbmNlSWQiOiI4NDYyYmRlNi02YzdlLTQxMjYtYTU1MC1lMTlkM2FlNjllY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iaW9pcy5ldS9Sb0hTX1BhY2stMjNfUmVwb3J0X0ZpbmFsXzIwMjIxMjIwLnBkZiIsIlVyaVN0cmluZyI6Imh0dHBzOi8vcm9ocy5iaW9pcy5ldS9Sb0hTX1BhY2stMjNfUmVwb3J0X0ZpbmFsXzIwMjIxMjIw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wOS0xMlQxMDo0MToxOCIsIk1vZGlmaWVkQnkiOiJfRGV1YnplciIsIklkIjoiNTcwYWJkNzYtODQ5Yi00OGJlLWI3MmUtOWQxZDA1ZTM5M2ExIiwiTW9kaWZpZWRPbiI6IjIwMjMtMDktMTJUMTA6NDE6MTg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RhdGEuZXVyb3BhLmV1L2RvaS8xMC4yNzc5LzUwNzY2MSIsIlVyaVN0cmluZyI6Imh0dHBzOi8vZGF0YS5ldXJvcGEuZXUvZG9pLzEwLjI3NzkvNTA3NjY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}</w:instrText>
          </w:r>
          <w:r w:rsidR="00B6685A">
            <w:rPr>
              <w:rStyle w:val="Standard1"/>
              <w:rFonts w:cs="Times New Roman"/>
              <w:lang w:eastAsia="fr-FR"/>
            </w:rPr>
            <w:fldChar w:fldCharType="separate"/>
          </w:r>
          <w:r w:rsidR="00AC1DC6">
            <w:rPr>
              <w:rStyle w:val="Standard1"/>
              <w:rFonts w:cs="Times New Roman"/>
              <w:lang w:eastAsia="fr-FR"/>
            </w:rPr>
            <w:t>Deubzer et al. (2022)</w:t>
          </w:r>
          <w:r w:rsidR="00B6685A">
            <w:rPr>
              <w:rStyle w:val="Standard1"/>
              <w:rFonts w:cs="Times New Roman"/>
              <w:lang w:eastAsia="fr-FR"/>
            </w:rPr>
            <w:fldChar w:fldCharType="end"/>
          </w:r>
        </w:sdtContent>
      </w:sdt>
      <w:r w:rsidR="00EA4233">
        <w:rPr>
          <w:rFonts w:cs="Arial"/>
        </w:rPr>
        <w:t xml:space="preserve">. </w:t>
      </w:r>
      <w:bookmarkEnd w:id="24"/>
      <w:r w:rsidR="00957347">
        <w:rPr>
          <w:rFonts w:cs="Arial"/>
        </w:rPr>
        <w:t xml:space="preserve">They </w:t>
      </w:r>
      <w:r w:rsidR="00957347" w:rsidRPr="00CD7699">
        <w:t>recommended</w:t>
      </w:r>
      <w:r w:rsidR="00A85EBE">
        <w:t xml:space="preserve"> renewing exemption 8(b) as exemption 8(b)(II) with a narrowed </w:t>
      </w:r>
      <w:r w:rsidR="00957347" w:rsidRPr="00CD7699">
        <w:t>scope</w:t>
      </w:r>
      <w:r w:rsidR="00957347">
        <w:t xml:space="preserve"> </w:t>
      </w:r>
      <w:r w:rsidR="006616CA">
        <w:t>and</w:t>
      </w:r>
      <w:r w:rsidR="00957347" w:rsidRPr="00CD7699">
        <w:t xml:space="preserve"> with expiry dates in 2023 and 2025 (c.f.</w:t>
      </w:r>
      <w:r w:rsidR="00957347" w:rsidRPr="00CD7699">
        <w:fldChar w:fldCharType="begin"/>
      </w:r>
      <w:r w:rsidR="00957347" w:rsidRPr="00CD7699">
        <w:instrText xml:space="preserve"> REF _Ref147939181 \h </w:instrText>
      </w:r>
      <w:r w:rsidR="00957347" w:rsidRPr="00CD7699">
        <w:fldChar w:fldCharType="separate"/>
      </w:r>
      <w:r w:rsidR="00C24D2D" w:rsidRPr="00CD7699">
        <w:t xml:space="preserve">Table </w:t>
      </w:r>
      <w:r w:rsidR="00C24D2D">
        <w:t>2</w:t>
      </w:r>
      <w:r w:rsidR="00957347" w:rsidRPr="00CD7699">
        <w:fldChar w:fldCharType="end"/>
      </w:r>
      <w:r w:rsidR="00957347" w:rsidRPr="00CD7699">
        <w:t xml:space="preserve">). </w:t>
      </w:r>
    </w:p>
    <w:p w14:paraId="4857FB3A" w14:textId="76156743" w:rsidR="00957347" w:rsidRDefault="00957347" w:rsidP="00BE305A">
      <w:pPr>
        <w:pStyle w:val="0StandardConsultant"/>
        <w:rPr>
          <w:rFonts w:cs="Arial"/>
        </w:rPr>
      </w:pPr>
    </w:p>
    <w:p w14:paraId="3B9C8F35" w14:textId="59345531" w:rsidR="00957347" w:rsidRPr="00CD7699" w:rsidRDefault="00957347" w:rsidP="00957347">
      <w:pPr>
        <w:pStyle w:val="Caption"/>
      </w:pPr>
      <w:bookmarkStart w:id="25" w:name="_Ref147939181"/>
      <w:bookmarkStart w:id="26" w:name="_Ref148000423"/>
      <w:r w:rsidRPr="00CD7699">
        <w:lastRenderedPageBreak/>
        <w:t xml:space="preserve">Table </w:t>
      </w:r>
      <w:r w:rsidRPr="00CD7699">
        <w:fldChar w:fldCharType="begin"/>
      </w:r>
      <w:r w:rsidRPr="00CD7699">
        <w:instrText xml:space="preserve"> SEQ Table \* ARABIC </w:instrText>
      </w:r>
      <w:r w:rsidRPr="00CD7699">
        <w:fldChar w:fldCharType="separate"/>
      </w:r>
      <w:r w:rsidR="00C24D2D">
        <w:rPr>
          <w:noProof/>
        </w:rPr>
        <w:t>2</w:t>
      </w:r>
      <w:r w:rsidRPr="00CD7699">
        <w:fldChar w:fldCharType="end"/>
      </w:r>
      <w:bookmarkEnd w:id="25"/>
      <w:r w:rsidRPr="00CD7699">
        <w:t>: Potential renewal of exemption III-8(b) as exemption III-8(b)(II)</w:t>
      </w:r>
      <w:bookmarkEnd w:id="26"/>
    </w:p>
    <w:tbl>
      <w:tblPr>
        <w:tblStyle w:val="TableGrid"/>
        <w:tblW w:w="8950" w:type="dxa"/>
        <w:tblBorders>
          <w:insideH w:val="single" w:sz="4" w:space="0" w:color="auto"/>
          <w:insideV w:val="single" w:sz="4" w:space="0" w:color="auto"/>
        </w:tblBorders>
        <w:tblLook w:val="04A0" w:firstRow="1" w:lastRow="0" w:firstColumn="1" w:lastColumn="0" w:noHBand="0" w:noVBand="1"/>
      </w:tblPr>
      <w:tblGrid>
        <w:gridCol w:w="870"/>
        <w:gridCol w:w="4251"/>
        <w:gridCol w:w="3829"/>
      </w:tblGrid>
      <w:tr w:rsidR="00957347" w:rsidRPr="00CD7699" w14:paraId="5CE653E2" w14:textId="77777777" w:rsidTr="00DC4883">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002EB974" w14:textId="77777777" w:rsidR="00957347" w:rsidRPr="00CD7699" w:rsidRDefault="00957347" w:rsidP="00DC4883">
            <w:pPr>
              <w:pStyle w:val="0StandardApplicant"/>
              <w:keepNext/>
              <w:keepLines/>
              <w:rPr>
                <w:noProof w:val="0"/>
                <w:color w:val="FFFFFF" w:themeColor="background1"/>
              </w:rPr>
            </w:pPr>
            <w:r w:rsidRPr="00CD7699">
              <w:rPr>
                <w:noProof w:val="0"/>
                <w:color w:val="FFFFFF" w:themeColor="background1"/>
              </w:rPr>
              <w:t>No.</w:t>
            </w:r>
          </w:p>
        </w:tc>
        <w:tc>
          <w:tcPr>
            <w:tcW w:w="4282" w:type="dxa"/>
            <w:tcBorders>
              <w:top w:val="single" w:sz="4" w:space="0" w:color="auto"/>
              <w:left w:val="nil"/>
              <w:bottom w:val="single" w:sz="4" w:space="0" w:color="auto"/>
              <w:right w:val="nil"/>
            </w:tcBorders>
            <w:hideMark/>
          </w:tcPr>
          <w:p w14:paraId="1B8D3869" w14:textId="77777777" w:rsidR="00957347" w:rsidRPr="00CD7699" w:rsidRDefault="00957347" w:rsidP="00DC4883">
            <w:pPr>
              <w:pStyle w:val="0StandardApplicant"/>
              <w:keepNext/>
              <w:keepLines/>
              <w:rPr>
                <w:noProof w:val="0"/>
                <w:color w:val="FFFFFF" w:themeColor="background1"/>
              </w:rPr>
            </w:pPr>
            <w:r w:rsidRPr="00CD7699">
              <w:rPr>
                <w:noProof w:val="0"/>
                <w:color w:val="FFFFFF" w:themeColor="background1"/>
              </w:rPr>
              <w:t>Requested exemption</w:t>
            </w:r>
          </w:p>
        </w:tc>
        <w:tc>
          <w:tcPr>
            <w:tcW w:w="3838" w:type="dxa"/>
            <w:tcBorders>
              <w:top w:val="single" w:sz="4" w:space="0" w:color="auto"/>
              <w:left w:val="nil"/>
              <w:bottom w:val="single" w:sz="4" w:space="0" w:color="auto"/>
              <w:right w:val="single" w:sz="4" w:space="0" w:color="FFFFFF"/>
            </w:tcBorders>
            <w:hideMark/>
          </w:tcPr>
          <w:p w14:paraId="13B9E080" w14:textId="77777777" w:rsidR="00957347" w:rsidRPr="00CD7699" w:rsidRDefault="00957347" w:rsidP="00DC4883">
            <w:pPr>
              <w:pStyle w:val="0StandardApplicant"/>
              <w:keepNext/>
              <w:keepLines/>
              <w:rPr>
                <w:noProof w:val="0"/>
                <w:color w:val="FFFFFF" w:themeColor="background1"/>
              </w:rPr>
            </w:pPr>
            <w:r w:rsidRPr="00CD7699">
              <w:rPr>
                <w:noProof w:val="0"/>
                <w:color w:val="FFFFFF" w:themeColor="background1"/>
              </w:rPr>
              <w:t>Requested scope and dates of applicability</w:t>
            </w:r>
          </w:p>
        </w:tc>
      </w:tr>
      <w:tr w:rsidR="00957347" w:rsidRPr="00CD7699" w14:paraId="21D50D68" w14:textId="77777777" w:rsidTr="00DC4883">
        <w:tc>
          <w:tcPr>
            <w:tcW w:w="872" w:type="dxa"/>
            <w:tcBorders>
              <w:bottom w:val="single" w:sz="4" w:space="0" w:color="auto"/>
            </w:tcBorders>
            <w:shd w:val="clear" w:color="auto" w:fill="FFFFFF" w:themeFill="background1"/>
          </w:tcPr>
          <w:p w14:paraId="0B2CE696" w14:textId="77777777" w:rsidR="00957347" w:rsidRPr="00CD7699" w:rsidRDefault="00957347" w:rsidP="00DC4883">
            <w:pPr>
              <w:pStyle w:val="0ExemptionWording"/>
              <w:rPr>
                <w:lang w:val="en-GB"/>
              </w:rPr>
            </w:pPr>
            <w:r w:rsidRPr="00CD7699">
              <w:rPr>
                <w:lang w:val="en-GB"/>
              </w:rPr>
              <w:t>8(b)</w:t>
            </w:r>
          </w:p>
        </w:tc>
        <w:tc>
          <w:tcPr>
            <w:tcW w:w="4226" w:type="dxa"/>
            <w:tcBorders>
              <w:bottom w:val="single" w:sz="4" w:space="0" w:color="auto"/>
            </w:tcBorders>
            <w:shd w:val="clear" w:color="auto" w:fill="FFFFFF" w:themeFill="background1"/>
          </w:tcPr>
          <w:p w14:paraId="5496C808" w14:textId="77777777" w:rsidR="00957347" w:rsidRPr="00CD7699" w:rsidRDefault="00957347" w:rsidP="00DC4883">
            <w:pPr>
              <w:pStyle w:val="0ExemptionWording"/>
              <w:rPr>
                <w:lang w:val="en-GB"/>
              </w:rPr>
            </w:pPr>
            <w:r w:rsidRPr="00CD7699">
              <w:rPr>
                <w:lang w:val="en-GB"/>
              </w:rPr>
              <w:t>Cadmium and its compounds in electrical contacts</w:t>
            </w:r>
          </w:p>
        </w:tc>
        <w:tc>
          <w:tcPr>
            <w:tcW w:w="3852" w:type="dxa"/>
            <w:tcBorders>
              <w:bottom w:val="single" w:sz="4" w:space="0" w:color="auto"/>
            </w:tcBorders>
            <w:shd w:val="clear" w:color="auto" w:fill="FFFFFF" w:themeFill="background1"/>
          </w:tcPr>
          <w:p w14:paraId="3784B5F2" w14:textId="77777777" w:rsidR="00957347" w:rsidRPr="00CD7699" w:rsidRDefault="00957347" w:rsidP="00DC4883">
            <w:pPr>
              <w:pStyle w:val="0ExemptionWording"/>
              <w:rPr>
                <w:lang w:val="en-GB"/>
              </w:rPr>
            </w:pPr>
            <w:r w:rsidRPr="00CD7699">
              <w:rPr>
                <w:lang w:val="en-GB"/>
              </w:rPr>
              <w:t>Applies to categories 8, 9 and 11</w:t>
            </w:r>
          </w:p>
          <w:p w14:paraId="7944D2FC" w14:textId="77777777" w:rsidR="00957347" w:rsidRPr="00CD7699" w:rsidRDefault="00957347" w:rsidP="00DC4883">
            <w:pPr>
              <w:pStyle w:val="-ExemptionWording"/>
              <w:numPr>
                <w:ilvl w:val="0"/>
                <w:numId w:val="0"/>
              </w:numPr>
            </w:pPr>
            <w:r w:rsidRPr="00CD7699">
              <w:t xml:space="preserve">Expires on </w:t>
            </w:r>
          </w:p>
          <w:p w14:paraId="605F1816" w14:textId="77777777" w:rsidR="00957347" w:rsidRPr="00CD7699" w:rsidRDefault="00957347" w:rsidP="00957347">
            <w:pPr>
              <w:pStyle w:val="-ExemptionWording"/>
              <w:ind w:left="429"/>
            </w:pPr>
            <w:r w:rsidRPr="00CD7699">
              <w:t>[date of official publication of the COM decision in the Official Journal + 12 months] for cat. 11</w:t>
            </w:r>
          </w:p>
          <w:p w14:paraId="3B2BFEA7" w14:textId="77777777" w:rsidR="00957347" w:rsidRPr="00CD7699" w:rsidRDefault="00957347" w:rsidP="00957347">
            <w:pPr>
              <w:pStyle w:val="-ExemptionWording"/>
              <w:ind w:left="429"/>
            </w:pPr>
            <w:r w:rsidRPr="00CD7699">
              <w:t>[date of official publication of the COM decision in the Official Journal + 18 months] for category 8 medical devices including in-vitro diagnostic medical devices, and category 9 monitoring and control instruments including industrial monitoring and control instruments</w:t>
            </w:r>
          </w:p>
        </w:tc>
      </w:tr>
      <w:tr w:rsidR="00957347" w:rsidRPr="00CD7699" w14:paraId="0E646477" w14:textId="77777777" w:rsidTr="00DC4883">
        <w:trPr>
          <w:trHeight w:val="4489"/>
        </w:trPr>
        <w:tc>
          <w:tcPr>
            <w:tcW w:w="872" w:type="dxa"/>
            <w:tcBorders>
              <w:top w:val="single" w:sz="4" w:space="0" w:color="auto"/>
              <w:left w:val="single" w:sz="4" w:space="0" w:color="FFFFFF"/>
              <w:bottom w:val="single" w:sz="4" w:space="0" w:color="000000" w:themeColor="text1"/>
              <w:right w:val="single" w:sz="4" w:space="0" w:color="000000" w:themeColor="text1"/>
            </w:tcBorders>
            <w:shd w:val="clear" w:color="auto" w:fill="auto"/>
          </w:tcPr>
          <w:p w14:paraId="0570263A" w14:textId="77777777" w:rsidR="00957347" w:rsidRPr="00CD7699" w:rsidRDefault="00957347" w:rsidP="00DC4883">
            <w:pPr>
              <w:pStyle w:val="0StandardApplicant"/>
              <w:keepNext/>
              <w:keepLines/>
              <w:rPr>
                <w:noProof w:val="0"/>
              </w:rPr>
            </w:pPr>
            <w:r w:rsidRPr="00CD7699">
              <w:rPr>
                <w:rFonts w:cs="Arial"/>
                <w:i w:val="0"/>
                <w:noProof w:val="0"/>
                <w:color w:val="000000"/>
                <w:sz w:val="20"/>
                <w:szCs w:val="20"/>
                <w:lang w:eastAsia="de-DE"/>
              </w:rPr>
              <w:t>8(b(II</w:t>
            </w:r>
            <w:r w:rsidRPr="00CD7699">
              <w:rPr>
                <w:noProof w:val="0"/>
              </w:rPr>
              <w:t>)</w:t>
            </w:r>
          </w:p>
        </w:tc>
        <w:tc>
          <w:tcPr>
            <w:tcW w:w="4226" w:type="dxa"/>
            <w:tcBorders>
              <w:top w:val="single" w:sz="4" w:space="0" w:color="auto"/>
              <w:left w:val="single" w:sz="4" w:space="0" w:color="000000" w:themeColor="text1"/>
              <w:right w:val="single" w:sz="4" w:space="0" w:color="000000" w:themeColor="text1"/>
            </w:tcBorders>
            <w:shd w:val="clear" w:color="auto" w:fill="auto"/>
          </w:tcPr>
          <w:p w14:paraId="3A773193" w14:textId="77777777" w:rsidR="00957347" w:rsidRPr="00BF48E2" w:rsidRDefault="00957347" w:rsidP="00BF48E2">
            <w:pPr>
              <w:pStyle w:val="0ExemptionWording"/>
            </w:pPr>
            <w:r w:rsidRPr="00BF48E2">
              <w:rPr>
                <w:rStyle w:val="0StandardApplicantZchn"/>
                <w:i w:val="0"/>
                <w:noProof w:val="0"/>
                <w:sz w:val="20"/>
                <w:szCs w:val="20"/>
                <w:lang w:val="en-US" w:eastAsia="de-DE"/>
              </w:rPr>
              <w:t>Cadmium and its compounds in electrical contacts used in</w:t>
            </w:r>
            <w:r w:rsidRPr="00BF48E2">
              <w:t xml:space="preserve">: </w:t>
            </w:r>
          </w:p>
          <w:p w14:paraId="09B59837" w14:textId="77777777" w:rsidR="00957347" w:rsidRPr="00CD7699" w:rsidRDefault="00957347" w:rsidP="00957347">
            <w:pPr>
              <w:pStyle w:val="-ExemptionWording"/>
              <w:ind w:left="429"/>
            </w:pPr>
            <w:r w:rsidRPr="00CD7699">
              <w:t>circuit breakers</w:t>
            </w:r>
          </w:p>
          <w:p w14:paraId="169D3838" w14:textId="77777777" w:rsidR="00957347" w:rsidRPr="00CD7699" w:rsidRDefault="00957347" w:rsidP="00957347">
            <w:pPr>
              <w:pStyle w:val="-ExemptionWording"/>
              <w:ind w:left="429"/>
            </w:pPr>
            <w:r w:rsidRPr="00CD7699">
              <w:t>thermal sensing controls</w:t>
            </w:r>
          </w:p>
          <w:p w14:paraId="288285B3" w14:textId="77777777" w:rsidR="00957347" w:rsidRPr="00CD7699" w:rsidRDefault="00957347" w:rsidP="00957347">
            <w:pPr>
              <w:pStyle w:val="-ExemptionWording"/>
              <w:ind w:left="429"/>
            </w:pPr>
            <w:r w:rsidRPr="00CD7699">
              <w:t>thermal motor protectors (excluding hermetic thermal motor protectors)</w:t>
            </w:r>
          </w:p>
          <w:p w14:paraId="324FF733" w14:textId="77777777" w:rsidR="00957347" w:rsidRPr="00CD7699" w:rsidRDefault="00957347" w:rsidP="00957347">
            <w:pPr>
              <w:pStyle w:val="-ExemptionWording"/>
              <w:ind w:left="429"/>
            </w:pPr>
            <w:r w:rsidRPr="00CD7699">
              <w:t>AC switches</w:t>
            </w:r>
          </w:p>
          <w:p w14:paraId="40CB2AD5" w14:textId="77777777" w:rsidR="00957347" w:rsidRPr="00CD7699" w:rsidRDefault="00957347" w:rsidP="00957347">
            <w:pPr>
              <w:pStyle w:val="-ExemptionWording"/>
              <w:ind w:left="429"/>
            </w:pPr>
            <w:r w:rsidRPr="00CD7699">
              <w:t>DC switches</w:t>
            </w:r>
          </w:p>
        </w:tc>
        <w:tc>
          <w:tcPr>
            <w:tcW w:w="3852" w:type="dxa"/>
            <w:tcBorders>
              <w:top w:val="single" w:sz="4" w:space="0" w:color="auto"/>
              <w:left w:val="single" w:sz="4" w:space="0" w:color="000000" w:themeColor="text1"/>
              <w:right w:val="nil"/>
            </w:tcBorders>
            <w:shd w:val="clear" w:color="auto" w:fill="auto"/>
          </w:tcPr>
          <w:p w14:paraId="4D36F5E9" w14:textId="77777777" w:rsidR="00957347" w:rsidRPr="00CD7699" w:rsidRDefault="00957347" w:rsidP="00DC4883">
            <w:pPr>
              <w:pStyle w:val="0ExemptionWording"/>
              <w:rPr>
                <w:lang w:val="en-GB"/>
              </w:rPr>
            </w:pPr>
            <w:r w:rsidRPr="00CD7699">
              <w:rPr>
                <w:lang w:val="en-GB"/>
              </w:rPr>
              <w:t xml:space="preserve">Applies to categories 8 and 9 from [date of the official publication of the COM decision in the Official Journal + 18 months + 1 day] on. </w:t>
            </w:r>
          </w:p>
          <w:p w14:paraId="5084BEE4" w14:textId="77777777" w:rsidR="00957347" w:rsidRPr="00CD7699" w:rsidRDefault="00957347" w:rsidP="00DC4883">
            <w:pPr>
              <w:pStyle w:val="0ExemptionWording"/>
              <w:rPr>
                <w:lang w:val="en-GB"/>
              </w:rPr>
            </w:pPr>
            <w:r w:rsidRPr="00CD7699">
              <w:rPr>
                <w:lang w:val="en-GB"/>
              </w:rPr>
              <w:t xml:space="preserve">Expires on </w:t>
            </w:r>
          </w:p>
          <w:p w14:paraId="0F9C031A" w14:textId="77777777" w:rsidR="00957347" w:rsidRPr="00CD7699" w:rsidRDefault="00957347" w:rsidP="00957347">
            <w:pPr>
              <w:pStyle w:val="-ExemptionWording"/>
              <w:ind w:left="429"/>
            </w:pPr>
            <w:r w:rsidRPr="00CD7699">
              <w:t>31 December 2023 for circuit breakers in rotating parts of computer tomography (CT) medical devices (category 8 medical devices others than in-vitro diagnostic medical devices)</w:t>
            </w:r>
          </w:p>
          <w:p w14:paraId="6F2FC0DA" w14:textId="77777777" w:rsidR="00957347" w:rsidRPr="00CD7699" w:rsidRDefault="00957347" w:rsidP="00957347">
            <w:pPr>
              <w:pStyle w:val="-ExemptionWording"/>
              <w:ind w:left="429"/>
            </w:pPr>
            <w:r w:rsidRPr="00CD7699">
              <w:t xml:space="preserve">31 December 2025 for portable emergency defibrillators (cat. 8 medical devices others than in-vitro diagnostic medical devices) with a Declaration of Conformity (DOC) issued for the first time before 1 January 2015 </w:t>
            </w:r>
          </w:p>
          <w:p w14:paraId="1606652E" w14:textId="77777777" w:rsidR="00957347" w:rsidRPr="00CD7699" w:rsidRDefault="00957347" w:rsidP="00957347">
            <w:pPr>
              <w:pStyle w:val="-ExemptionWording"/>
              <w:ind w:left="429"/>
            </w:pPr>
            <w:r w:rsidRPr="00CD7699">
              <w:rPr>
                <w:b/>
              </w:rPr>
              <w:t>31 December 2025</w:t>
            </w:r>
            <w:r w:rsidRPr="00CD7699">
              <w:t xml:space="preserve"> for other cat. 8 medical devices including in-vitro diagnostic medical devices, and </w:t>
            </w:r>
            <w:r w:rsidRPr="00CD7699">
              <w:rPr>
                <w:b/>
              </w:rPr>
              <w:t>for category 9 monitoring and control instruments including industrial monitoring and control instruments</w:t>
            </w:r>
            <w:r w:rsidRPr="00CD7699">
              <w:t>.</w:t>
            </w:r>
          </w:p>
        </w:tc>
      </w:tr>
    </w:tbl>
    <w:p w14:paraId="3C6ED909" w14:textId="77777777" w:rsidR="00957347" w:rsidRPr="00CD7699" w:rsidRDefault="00957347" w:rsidP="00957347">
      <w:pPr>
        <w:pStyle w:val="footnote"/>
      </w:pPr>
      <w:r w:rsidRPr="00CD7699">
        <w:t>Source: Deubzer et al. (2022)</w:t>
      </w:r>
      <w:r w:rsidRPr="00CD7699">
        <w:rPr>
          <w:rStyle w:val="FootnoteReference"/>
        </w:rPr>
        <w:footnoteReference w:id="5"/>
      </w:r>
    </w:p>
    <w:p w14:paraId="2E2772D9" w14:textId="77777777" w:rsidR="00957347" w:rsidRDefault="00957347" w:rsidP="00BE305A">
      <w:pPr>
        <w:pStyle w:val="0StandardConsultant"/>
        <w:rPr>
          <w:rFonts w:cs="Arial"/>
        </w:rPr>
      </w:pPr>
    </w:p>
    <w:p w14:paraId="216CCF1B" w14:textId="7F4DC0B9" w:rsidR="00A85EBE" w:rsidRDefault="00F12D3A" w:rsidP="00FA2805">
      <w:pPr>
        <w:pStyle w:val="0StandardConsultant"/>
      </w:pPr>
      <w:r w:rsidRPr="00443809">
        <w:lastRenderedPageBreak/>
        <w:t xml:space="preserve">The European Commission (COM) have not yet officially published their decision as to the adoption of the above recommendation. The </w:t>
      </w:r>
      <w:r>
        <w:t xml:space="preserve">COM wishes the </w:t>
      </w:r>
      <w:r w:rsidRPr="00443809">
        <w:t xml:space="preserve">consultants </w:t>
      </w:r>
      <w:r>
        <w:t>to assess in this current review round</w:t>
      </w:r>
      <w:r w:rsidRPr="00443809">
        <w:t xml:space="preserve"> whether there are any substantial reasons </w:t>
      </w:r>
      <w:r>
        <w:t>in line with Art. 5(1)(a) against the adoption of</w:t>
      </w:r>
      <w:r w:rsidRPr="00443809">
        <w:t xml:space="preserve"> the above recommendation </w:t>
      </w:r>
      <w:r>
        <w:t>for</w:t>
      </w:r>
      <w:r w:rsidRPr="00443809">
        <w:t xml:space="preserve"> EEE of categor</w:t>
      </w:r>
      <w:r>
        <w:t>ies 8,</w:t>
      </w:r>
      <w:r w:rsidRPr="00443809">
        <w:t xml:space="preserve"> </w:t>
      </w:r>
      <w:r>
        <w:t>9 and 11</w:t>
      </w:r>
      <w:r w:rsidRPr="00443809">
        <w:t xml:space="preserve">. </w:t>
      </w:r>
      <w:r w:rsidR="00A85EBE">
        <w:t xml:space="preserve">This </w:t>
      </w:r>
      <w:r w:rsidR="00A85EBE" w:rsidRPr="00407196">
        <w:t>implies that the consultants will assess whether the validities of exemptions whose renewal is requested for cat. 8, 9 or 11 may exceed the validities recommended in the previous review (</w:t>
      </w:r>
      <w:r w:rsidR="00A85EBE">
        <w:fldChar w:fldCharType="begin"/>
      </w:r>
      <w:r w:rsidR="00A85EBE">
        <w:instrText xml:space="preserve"> REF _Ref147939181 \h </w:instrText>
      </w:r>
      <w:r w:rsidR="00A85EBE">
        <w:fldChar w:fldCharType="separate"/>
      </w:r>
      <w:r w:rsidR="00C24D2D" w:rsidRPr="00CD7699">
        <w:t xml:space="preserve">Table </w:t>
      </w:r>
      <w:r w:rsidR="00C24D2D">
        <w:t>2</w:t>
      </w:r>
      <w:r w:rsidR="00A85EBE">
        <w:fldChar w:fldCharType="end"/>
      </w:r>
      <w:r w:rsidR="00A85EBE" w:rsidRPr="00407196">
        <w:t>)</w:t>
      </w:r>
      <w:r w:rsidR="009416FF">
        <w:t xml:space="preserve">, in this case 31 December 2025 for cat. 9 IMCIs. </w:t>
      </w:r>
    </w:p>
    <w:p w14:paraId="1FB6A57D" w14:textId="77C2202D" w:rsidR="0008700E" w:rsidRDefault="0008700E" w:rsidP="0008700E">
      <w:pPr>
        <w:pStyle w:val="0StandardConsultant"/>
        <w:rPr>
          <w:rStyle w:val="Standard1"/>
          <w:b/>
        </w:rPr>
      </w:pPr>
      <w:r>
        <w:rPr>
          <w:rStyle w:val="Standard1"/>
          <w:b/>
        </w:rPr>
        <w:t>To contribute to this stakeholder consultation, please answer the below questions until 1</w:t>
      </w:r>
      <w:r w:rsidR="005F79C3">
        <w:rPr>
          <w:rStyle w:val="Standard1"/>
          <w:b/>
        </w:rPr>
        <w:t>9</w:t>
      </w:r>
      <w:r>
        <w:rPr>
          <w:rStyle w:val="Standard1"/>
          <w:b/>
        </w:rPr>
        <w:t xml:space="preserve"> January 2024. </w:t>
      </w:r>
    </w:p>
    <w:p w14:paraId="595AF678" w14:textId="1EE04243" w:rsidR="00AA479C" w:rsidRDefault="0008700E" w:rsidP="0008700E">
      <w:pPr>
        <w:pStyle w:val="0StandardConsultant"/>
      </w:pPr>
      <w:r>
        <w:rPr>
          <w:rStyle w:val="Standard1"/>
          <w:b/>
        </w:rPr>
        <w:t>Please also see the applicants’ renewal request form and – if submitted – further information on the consultation web page</w:t>
      </w:r>
      <w:r>
        <w:rPr>
          <w:rStyle w:val="FootnoteReference"/>
          <w:rFonts w:cs="Arial"/>
          <w:b/>
          <w:lang w:eastAsia="x-none"/>
        </w:rPr>
        <w:footnoteReference w:id="6"/>
      </w:r>
      <w:r>
        <w:rPr>
          <w:rStyle w:val="Standard1"/>
          <w:b/>
        </w:rPr>
        <w:t>.</w:t>
      </w:r>
    </w:p>
    <w:p w14:paraId="7C2CF900" w14:textId="6D34181E" w:rsidR="00F12D3A" w:rsidRDefault="00F12D3A" w:rsidP="00EA020A">
      <w:pPr>
        <w:pStyle w:val="Heading1"/>
        <w:rPr>
          <w:rStyle w:val="Standard1"/>
          <w:lang w:eastAsia="en-US"/>
        </w:rPr>
      </w:pPr>
      <w:r w:rsidRPr="00EA020A">
        <w:rPr>
          <w:rStyle w:val="Standard1"/>
          <w:lang w:eastAsia="en-US"/>
        </w:rPr>
        <w:t>Questions</w:t>
      </w:r>
    </w:p>
    <w:p w14:paraId="1662210D" w14:textId="28DE0833" w:rsidR="00DA2AA2" w:rsidRDefault="00DA2AA2" w:rsidP="00A26DBB">
      <w:pPr>
        <w:pStyle w:val="6Listnumbered"/>
        <w:rPr>
          <w:rStyle w:val="Standard1"/>
          <w:rFonts w:cs="Times New Roman"/>
          <w:lang w:eastAsia="nl-BE"/>
        </w:rPr>
      </w:pPr>
      <w:bookmarkStart w:id="27" w:name="_Ref50047031"/>
      <w:r>
        <w:rPr>
          <w:rStyle w:val="Standard1"/>
          <w:rFonts w:cs="Times New Roman"/>
          <w:lang w:eastAsia="nl-BE"/>
        </w:rPr>
        <w:t>Do you agree with TMC’s request to renew exemption 8(b) for cat. 9 IMCI instead of replacing it by exemption 8(b)(II) as recommended in the last review?</w:t>
      </w:r>
    </w:p>
    <w:p w14:paraId="0B548EB9" w14:textId="5718559C" w:rsidR="00DA2AA2" w:rsidRDefault="00DA2AA2" w:rsidP="00DA2AA2">
      <w:pPr>
        <w:pStyle w:val="6Listnumbered"/>
        <w:numPr>
          <w:ilvl w:val="0"/>
          <w:numId w:val="0"/>
        </w:numPr>
        <w:ind w:left="644"/>
        <w:rPr>
          <w:rStyle w:val="Standard1"/>
          <w:rFonts w:cs="Times New Roman"/>
          <w:lang w:eastAsia="nl-BE"/>
        </w:rPr>
      </w:pPr>
    </w:p>
    <w:p w14:paraId="5B991E48" w14:textId="74ADCCD2" w:rsidR="00DA2AA2" w:rsidRDefault="00DA2AA2" w:rsidP="00DA2AA2">
      <w:pPr>
        <w:pStyle w:val="6Listnumbered"/>
        <w:numPr>
          <w:ilvl w:val="0"/>
          <w:numId w:val="0"/>
        </w:numPr>
        <w:ind w:left="644"/>
        <w:rPr>
          <w:rStyle w:val="Standard1"/>
          <w:rFonts w:cs="Times New Roman"/>
          <w:lang w:eastAsia="nl-BE"/>
        </w:rPr>
      </w:pPr>
      <w:r>
        <w:rPr>
          <w:rStyle w:val="Standard1"/>
          <w:rFonts w:cs="Times New Roman"/>
          <w:lang w:eastAsia="nl-BE"/>
        </w:rPr>
        <w:t xml:space="preserve">Do you agree </w:t>
      </w:r>
      <w:r w:rsidR="005E40C6">
        <w:rPr>
          <w:rStyle w:val="Standard1"/>
          <w:rFonts w:cs="Times New Roman"/>
          <w:lang w:eastAsia="nl-BE"/>
        </w:rPr>
        <w:t xml:space="preserve">with TMC’s request to extend the renewed exemption beyond 2025, which </w:t>
      </w:r>
      <w:sdt>
        <w:sdtPr>
          <w:rPr>
            <w:rStyle w:val="Standard1"/>
            <w:rFonts w:cs="Times New Roman"/>
            <w:lang w:eastAsia="fr-FR"/>
          </w:rPr>
          <w:alias w:val="To edit, see citavi.com/edit"/>
          <w:tag w:val="CitaviPlaceholder#0d82d8ed-a46b-4102-9c61-5f90db7c2cbd"/>
          <w:id w:val="1424770338"/>
          <w:placeholder>
            <w:docPart w:val="49CAE3E48F904FF2BAEFA9662899751F"/>
          </w:placeholder>
        </w:sdtPr>
        <w:sdtEndPr>
          <w:rPr>
            <w:rStyle w:val="Standard1"/>
          </w:rPr>
        </w:sdtEndPr>
        <w:sdtContent>
          <w:r w:rsidR="005E40C6">
            <w:rPr>
              <w:rStyle w:val="Standard1"/>
              <w:rFonts w:cs="Times New Roman"/>
              <w:lang w:eastAsia="fr-FR"/>
            </w:rPr>
            <w:fldChar w:fldCharType="begin"/>
          </w:r>
          <w:r w:rsidR="005E40C6">
            <w:rPr>
              <w:rStyle w:val="Standard1"/>
              <w:rFonts w:cs="Times New Roman"/>
              <w:lang w:eastAsia="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YzYxMmZjLWM5OGUtNDdiNC05MjIyLWYzOWMzMmQxMGFiNyIsIlJhbmdlTGVuZ3RoIjoyMSwiUmVmZXJlbmNlSWQiOiI4NDYyYmRlNi02YzdlLTQxMjYtYTU1MC1lMTlkM2FlNjllY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iaW9pcy5ldS9Sb0hTX1BhY2stMjNfUmVwb3J0X0ZpbmFsXzIwMjIxMjIwLnBkZiIsIlVyaVN0cmluZyI6Imh0dHBzOi8vcm9ocy5iaW9pcy5ldS9Sb0hTX1BhY2stMjNfUmVwb3J0X0ZpbmFsXzIwMjIxMjIw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wOS0xMlQxMDo0MToxOCIsIk1vZGlmaWVkQnkiOiJfRGV1YnplciIsIklkIjoiNTcwYWJkNzYtODQ5Yi00OGJlLWI3MmUtOWQxZDA1ZTM5M2ExIiwiTW9kaWZpZWRPbiI6IjIwMjMtMDktMTJUMTA6NDE6MTg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RhdGEuZXVyb3BhLmV1L2RvaS8xMC4yNzc5LzUwNzY2MSIsIlVyaVN0cmluZyI6Imh0dHBzOi8vZGF0YS5ldXJvcGEuZXUvZG9pLzEwLjI3NzkvNTA3NjY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}</w:instrText>
          </w:r>
          <w:r w:rsidR="005E40C6">
            <w:rPr>
              <w:rStyle w:val="Standard1"/>
              <w:rFonts w:cs="Times New Roman"/>
              <w:lang w:eastAsia="fr-FR"/>
            </w:rPr>
            <w:fldChar w:fldCharType="separate"/>
          </w:r>
          <w:r w:rsidR="005E40C6">
            <w:rPr>
              <w:rStyle w:val="Standard1"/>
              <w:rFonts w:cs="Times New Roman"/>
              <w:lang w:eastAsia="fr-FR"/>
            </w:rPr>
            <w:t>Deubzer et al. (2022)</w:t>
          </w:r>
          <w:r w:rsidR="005E40C6">
            <w:rPr>
              <w:rStyle w:val="Standard1"/>
              <w:rFonts w:cs="Times New Roman"/>
              <w:lang w:eastAsia="fr-FR"/>
            </w:rPr>
            <w:fldChar w:fldCharType="end"/>
          </w:r>
        </w:sdtContent>
      </w:sdt>
      <w:r w:rsidR="005E40C6">
        <w:rPr>
          <w:rStyle w:val="Standard1"/>
          <w:rFonts w:cs="Times New Roman"/>
          <w:lang w:eastAsia="nl-BE"/>
        </w:rPr>
        <w:t xml:space="preserve"> assessed as appropriate expiry date for cat. 9 IMCI in the last review with agreement of the applicants that participated in the 2021/2022 review</w:t>
      </w:r>
      <w:r w:rsidR="005E40C6">
        <w:rPr>
          <w:rStyle w:val="Standard1"/>
          <w:rFonts w:cs="Times New Roman"/>
          <w:lang w:eastAsia="fr-FR"/>
        </w:rPr>
        <w:t xml:space="preserve">? </w:t>
      </w:r>
    </w:p>
    <w:p w14:paraId="0780D46E" w14:textId="77777777" w:rsidR="005E40C6" w:rsidRDefault="005E40C6" w:rsidP="00DA2AA2">
      <w:pPr>
        <w:pStyle w:val="6Listnumbered"/>
        <w:numPr>
          <w:ilvl w:val="0"/>
          <w:numId w:val="0"/>
        </w:numPr>
        <w:ind w:left="644"/>
        <w:rPr>
          <w:rStyle w:val="Standard1"/>
          <w:rFonts w:cs="Times New Roman"/>
          <w:lang w:eastAsia="nl-BE"/>
        </w:rPr>
      </w:pPr>
    </w:p>
    <w:p w14:paraId="50452BAF" w14:textId="77777777" w:rsidR="00DA2AA2" w:rsidRPr="00DA2AA2" w:rsidRDefault="00DA2AA2" w:rsidP="00DA2AA2">
      <w:pPr>
        <w:pStyle w:val="6Listnumbered"/>
        <w:numPr>
          <w:ilvl w:val="0"/>
          <w:numId w:val="0"/>
        </w:numPr>
        <w:ind w:left="644"/>
        <w:rPr>
          <w:rStyle w:val="Standard1"/>
          <w:rFonts w:cs="Times New Roman"/>
          <w:lang w:eastAsia="nl-BE"/>
        </w:rPr>
      </w:pPr>
    </w:p>
    <w:p w14:paraId="6064A0E3" w14:textId="6E7840FD" w:rsidR="00A26DBB" w:rsidRDefault="007246DB" w:rsidP="00A26DBB">
      <w:pPr>
        <w:pStyle w:val="6Listnumbered"/>
      </w:pPr>
      <w:r w:rsidRPr="00EC2681">
        <w:rPr>
          <w:rStyle w:val="Standard1"/>
          <w:lang w:eastAsia="nl-BE"/>
        </w:rPr>
        <w:t>In the</w:t>
      </w:r>
      <w:r w:rsidR="009D1592" w:rsidRPr="00EC2681">
        <w:rPr>
          <w:rStyle w:val="Standard1"/>
          <w:lang w:eastAsia="nl-BE"/>
        </w:rPr>
        <w:t>ir</w:t>
      </w:r>
      <w:r w:rsidRPr="00EC2681">
        <w:rPr>
          <w:rStyle w:val="Standard1"/>
          <w:lang w:eastAsia="nl-BE"/>
        </w:rPr>
        <w:t xml:space="preserve"> answers to the clarification questionnaire </w:t>
      </w:r>
      <w:r w:rsidRPr="00A26DBB">
        <w:rPr>
          <w:rStyle w:val="0StandardApplicantZchn"/>
          <w:rFonts w:cs="Arial"/>
          <w:i w:val="0"/>
        </w:rPr>
        <w:t>TMC</w:t>
      </w:r>
      <w:r w:rsidR="00515DF4" w:rsidRPr="00A26DBB">
        <w:rPr>
          <w:rStyle w:val="0StandardApplicantZchn"/>
          <w:rFonts w:cs="Arial"/>
          <w:i w:val="0"/>
        </w:rPr>
        <w:t xml:space="preserve"> </w:t>
      </w:r>
      <w:r w:rsidR="00B07CCA" w:rsidRPr="00A26DBB">
        <w:rPr>
          <w:rStyle w:val="0StandardApplicantZchn"/>
          <w:rFonts w:cs="Arial"/>
          <w:i w:val="0"/>
        </w:rPr>
        <w:t xml:space="preserve">recommend the 7 year </w:t>
      </w:r>
      <w:r w:rsidR="00B07CCA" w:rsidRPr="00A26DBB">
        <w:rPr>
          <w:rStyle w:val="0StandardApplicantZchn"/>
          <w:i w:val="0"/>
          <w:noProof w:val="0"/>
          <w:szCs w:val="24"/>
          <w:lang w:eastAsia="nl-BE"/>
        </w:rPr>
        <w:t>renewal</w:t>
      </w:r>
      <w:r w:rsidR="00B07CCA" w:rsidRPr="00A26DBB">
        <w:rPr>
          <w:rStyle w:val="0StandardApplicantZchn"/>
          <w:rFonts w:cs="Arial"/>
          <w:i w:val="0"/>
        </w:rPr>
        <w:t xml:space="preserve"> of exemption 8(b) in its current wording for cat. 9 IMCIs. They state that the renewed exemption 8(b)(II) </w:t>
      </w:r>
      <w:r w:rsidR="006E2195" w:rsidRPr="00A26DBB">
        <w:rPr>
          <w:rStyle w:val="0StandardApplicantZchn"/>
          <w:rFonts w:cs="Arial"/>
          <w:i w:val="0"/>
        </w:rPr>
        <w:t xml:space="preserve">would not cover all </w:t>
      </w:r>
      <w:r w:rsidR="00B07CCA" w:rsidRPr="00A26DBB">
        <w:rPr>
          <w:i/>
        </w:rPr>
        <w:t xml:space="preserve">the electrical contacts that cat 9 utilizes to isolate circuits from high voltage circuits, inductive load switching and control relays. </w:t>
      </w:r>
      <w:r w:rsidR="00A26DBB">
        <w:rPr>
          <w:i/>
        </w:rPr>
        <w:tab/>
      </w:r>
      <w:r w:rsidR="00A26DBB">
        <w:rPr>
          <w:i/>
        </w:rPr>
        <w:br/>
      </w:r>
      <w:r w:rsidR="003305BC" w:rsidRPr="003305BC">
        <w:t xml:space="preserve">TMC do not provide specific examples </w:t>
      </w:r>
      <w:r w:rsidR="003305BC">
        <w:t xml:space="preserve">for electrical contacts that would not be covered. The stakeholders in the last review of this exemption in 2021/2022 had agreed that exemption 8(b)(II) would cover all applications of cadmium in electrical contacts for cat. 9 IMCIs. </w:t>
      </w:r>
    </w:p>
    <w:p w14:paraId="34673A9D" w14:textId="2FCCD719" w:rsidR="00B07CCA" w:rsidRDefault="003305BC" w:rsidP="003305BC">
      <w:pPr>
        <w:pStyle w:val="6Listnumbered"/>
        <w:numPr>
          <w:ilvl w:val="0"/>
          <w:numId w:val="0"/>
        </w:numPr>
        <w:autoSpaceDE w:val="0"/>
        <w:autoSpaceDN w:val="0"/>
        <w:adjustRightInd w:val="0"/>
        <w:spacing w:after="0"/>
        <w:ind w:left="644"/>
        <w:rPr>
          <w:rStyle w:val="0StandardApplicantZchn"/>
          <w:rFonts w:cs="Arial"/>
          <w:i w:val="0"/>
          <w:noProof w:val="0"/>
          <w:szCs w:val="24"/>
          <w:lang w:eastAsia="nl-BE"/>
        </w:rPr>
      </w:pPr>
      <w:r>
        <w:rPr>
          <w:rStyle w:val="0StandardApplicantZchn"/>
          <w:rFonts w:cs="Arial"/>
          <w:i w:val="0"/>
          <w:noProof w:val="0"/>
          <w:szCs w:val="24"/>
          <w:lang w:eastAsia="nl-BE"/>
        </w:rPr>
        <w:t>Do you see any applications of cadmium in electrical contacts</w:t>
      </w:r>
      <w:r w:rsidR="006F0FF4">
        <w:rPr>
          <w:rStyle w:val="0StandardApplicantZchn"/>
          <w:rFonts w:cs="Arial"/>
          <w:i w:val="0"/>
          <w:noProof w:val="0"/>
          <w:szCs w:val="24"/>
          <w:lang w:eastAsia="nl-BE"/>
        </w:rPr>
        <w:t xml:space="preserve"> in cat. 9 IMCIs</w:t>
      </w:r>
      <w:r>
        <w:rPr>
          <w:rStyle w:val="0StandardApplicantZchn"/>
          <w:rFonts w:cs="Arial"/>
          <w:i w:val="0"/>
          <w:noProof w:val="0"/>
          <w:szCs w:val="24"/>
          <w:lang w:eastAsia="nl-BE"/>
        </w:rPr>
        <w:t xml:space="preserve"> </w:t>
      </w:r>
      <w:r w:rsidR="006F0FF4">
        <w:rPr>
          <w:rStyle w:val="0StandardApplicantZchn"/>
          <w:rFonts w:cs="Arial"/>
          <w:i w:val="0"/>
          <w:noProof w:val="0"/>
          <w:szCs w:val="24"/>
          <w:lang w:eastAsia="nl-BE"/>
        </w:rPr>
        <w:t>which</w:t>
      </w:r>
      <w:r>
        <w:rPr>
          <w:rStyle w:val="0StandardApplicantZchn"/>
          <w:rFonts w:cs="Arial"/>
          <w:i w:val="0"/>
          <w:noProof w:val="0"/>
          <w:szCs w:val="24"/>
          <w:lang w:eastAsia="nl-BE"/>
        </w:rPr>
        <w:t xml:space="preserve"> exemption 8(b)(II)</w:t>
      </w:r>
      <w:r w:rsidR="006F0FF4">
        <w:rPr>
          <w:rStyle w:val="0StandardApplicantZchn"/>
          <w:rFonts w:cs="Arial"/>
          <w:i w:val="0"/>
          <w:noProof w:val="0"/>
          <w:szCs w:val="24"/>
          <w:lang w:eastAsia="nl-BE"/>
        </w:rPr>
        <w:t xml:space="preserve"> would not cover</w:t>
      </w:r>
      <w:r>
        <w:rPr>
          <w:rStyle w:val="0StandardApplicantZchn"/>
          <w:rFonts w:cs="Arial"/>
          <w:i w:val="0"/>
          <w:noProof w:val="0"/>
          <w:szCs w:val="24"/>
          <w:lang w:eastAsia="nl-BE"/>
        </w:rPr>
        <w:t>?</w:t>
      </w:r>
    </w:p>
    <w:p w14:paraId="52A4D3DF" w14:textId="1860F658" w:rsidR="003305BC" w:rsidRDefault="003305BC" w:rsidP="003305BC">
      <w:pPr>
        <w:pStyle w:val="6Listnumbered"/>
        <w:numPr>
          <w:ilvl w:val="0"/>
          <w:numId w:val="0"/>
        </w:numPr>
        <w:autoSpaceDE w:val="0"/>
        <w:autoSpaceDN w:val="0"/>
        <w:adjustRightInd w:val="0"/>
        <w:spacing w:after="0"/>
        <w:ind w:left="644" w:hanging="360"/>
        <w:rPr>
          <w:rStyle w:val="0StandardApplicantZchn"/>
          <w:rFonts w:cs="Arial"/>
          <w:i w:val="0"/>
          <w:noProof w:val="0"/>
          <w:szCs w:val="24"/>
          <w:lang w:eastAsia="nl-BE"/>
        </w:rPr>
      </w:pPr>
    </w:p>
    <w:p w14:paraId="076C7FDB" w14:textId="09611B42" w:rsidR="00F04A1B" w:rsidRPr="00A26DBB" w:rsidRDefault="006F0FF4" w:rsidP="00A26DBB">
      <w:pPr>
        <w:pStyle w:val="6Listnumbered"/>
        <w:rPr>
          <w:rFonts w:cs="Arial"/>
        </w:rPr>
      </w:pPr>
      <w:r w:rsidRPr="00CD7699">
        <w:t>TMC request the renewal of the exemption for the maximum 7 years</w:t>
      </w:r>
      <w:r>
        <w:t xml:space="preserve"> until 2031 while </w:t>
      </w:r>
      <w:r w:rsidRPr="00A26DBB">
        <w:t>producers</w:t>
      </w:r>
      <w:r w:rsidRPr="00CD7699">
        <w:t xml:space="preserve"> of switches/electrical contacts will have finalized th</w:t>
      </w:r>
      <w:r w:rsidR="00F04A1B">
        <w:t>e substitution of cadmium</w:t>
      </w:r>
      <w:r w:rsidRPr="00CD7699">
        <w:t xml:space="preserve"> conversion for the last few percentages of their products by the end of 2023 latest (protective switches, i.e. circuit breakers, thermal sensing controls and motor protectors) and until end of 2025 for the other switches</w:t>
      </w:r>
      <w:r>
        <w:t xml:space="preserve"> (c.f. </w:t>
      </w:r>
      <w:sdt>
        <w:sdtPr>
          <w:rPr>
            <w:rStyle w:val="Standard1"/>
            <w:rFonts w:cs="Times New Roman"/>
            <w:lang w:eastAsia="fr-FR"/>
          </w:rPr>
          <w:alias w:val="To edit, see citavi.com/edit"/>
          <w:tag w:val="CitaviPlaceholder#0d82d8ed-a46b-4102-9c61-5f90db7c2cbd"/>
          <w:id w:val="332493368"/>
          <w:placeholder>
            <w:docPart w:val="DB10544CBB1845528D7713F9A11235DF"/>
          </w:placeholder>
        </w:sdtPr>
        <w:sdtEndPr>
          <w:rPr>
            <w:rStyle w:val="Standard1"/>
          </w:rPr>
        </w:sdtEndPr>
        <w:sdtContent>
          <w:r w:rsidRPr="00A26DBB">
            <w:rPr>
              <w:rStyle w:val="Standard1"/>
              <w:rFonts w:cs="Times New Roman"/>
              <w:lang w:eastAsia="fr-FR"/>
            </w:rPr>
            <w:fldChar w:fldCharType="begin"/>
          </w:r>
          <w:r w:rsidRPr="00A26DBB">
            <w:rPr>
              <w:rStyle w:val="Standard1"/>
              <w:rFonts w:cs="Times New Roman"/>
              <w:lang w:eastAsia="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YzYxMmZjLWM5OGUtNDdiNC05MjIyLWYzOWMzMmQxMGFiNyIsIlJhbmdlTGVuZ3RoIjoyMSwiUmVmZXJlbmNlSWQiOiI4NDYyYmRlNi02YzdlLTQxMjYtYTU1MC1lMTlkM2FlNjllY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iaW9pcy5ldS9Sb0hTX1BhY2stMjNfUmVwb3J0X0ZpbmFsXzIwMjIxMjIwLnBkZiIsIlVyaVN0cmluZyI6Imh0dHBzOi8vcm9ocy5iaW9pcy5ldS9Sb0hTX1BhY2stMjNfUmVwb3J0X0ZpbmFsXzIwMjIxMjIw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wOS0xMlQxMDo0MToxOCIsIk1vZGlmaWVkQnkiOiJfRGV1YnplciIsIklkIjoiNTcwYWJkNzYtODQ5Yi00OGJlLWI3MmUtOWQxZDA1ZTM5M2ExIiwiTW9kaWZpZWRPbiI6IjIwMjMtMDktMTJUMTA6NDE6MTg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RhdGEuZXVyb3BhLmV1L2RvaS8xMC4yNzc5LzUwNzY2MSIsIlVyaVN0cmluZyI6Imh0dHBzOi8vZGF0YS5ldXJvcGEuZXUvZG9pLzEwLjI3NzkvNTA3NjY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}</w:instrText>
          </w:r>
          <w:r w:rsidRPr="00A26DBB">
            <w:rPr>
              <w:rStyle w:val="Standard1"/>
              <w:rFonts w:cs="Times New Roman"/>
              <w:lang w:eastAsia="fr-FR"/>
            </w:rPr>
            <w:fldChar w:fldCharType="separate"/>
          </w:r>
          <w:r w:rsidRPr="00A26DBB">
            <w:rPr>
              <w:rStyle w:val="Standard1"/>
              <w:rFonts w:cs="Times New Roman"/>
              <w:lang w:eastAsia="fr-FR"/>
            </w:rPr>
            <w:t>Deubzer et al. (2022)</w:t>
          </w:r>
          <w:r w:rsidRPr="00A26DBB">
            <w:rPr>
              <w:rStyle w:val="Standard1"/>
              <w:rFonts w:cs="Times New Roman"/>
              <w:lang w:eastAsia="fr-FR"/>
            </w:rPr>
            <w:fldChar w:fldCharType="end"/>
          </w:r>
        </w:sdtContent>
      </w:sdt>
      <w:r w:rsidRPr="00A26DBB">
        <w:rPr>
          <w:rStyle w:val="Standard1"/>
          <w:rFonts w:cs="Times New Roman"/>
          <w:lang w:eastAsia="fr-FR"/>
        </w:rPr>
        <w:t xml:space="preserve">). TMC </w:t>
      </w:r>
      <w:r w:rsidR="00F04A1B" w:rsidRPr="00A26DBB">
        <w:rPr>
          <w:rStyle w:val="Standard1"/>
          <w:rFonts w:cs="Times New Roman"/>
          <w:lang w:eastAsia="fr-FR"/>
        </w:rPr>
        <w:t xml:space="preserve">were asked how their members would maintain the production of IMCIs with cadmium-contacts after 2025. </w:t>
      </w:r>
      <w:r w:rsidR="00F04A1B" w:rsidRPr="009B6855">
        <w:rPr>
          <w:rStyle w:val="Standard1"/>
          <w:rFonts w:cs="Times New Roman"/>
          <w:i/>
          <w:lang w:eastAsia="fr-FR"/>
        </w:rPr>
        <w:t xml:space="preserve">They replied that, besides </w:t>
      </w:r>
      <w:r w:rsidR="00A26DBB" w:rsidRPr="009B6855">
        <w:rPr>
          <w:rStyle w:val="Standard1"/>
          <w:rFonts w:cs="Times New Roman"/>
          <w:i/>
          <w:lang w:eastAsia="fr-FR"/>
        </w:rPr>
        <w:t xml:space="preserve">purchasing critical components via </w:t>
      </w:r>
      <w:r w:rsidR="00F04A1B" w:rsidRPr="009B6855">
        <w:rPr>
          <w:rStyle w:val="Standard1"/>
          <w:rFonts w:cs="Times New Roman"/>
          <w:i/>
          <w:lang w:eastAsia="fr-FR"/>
        </w:rPr>
        <w:t xml:space="preserve">last-time buys, </w:t>
      </w:r>
      <w:r w:rsidR="00F04A1B" w:rsidRPr="009B6855">
        <w:rPr>
          <w:i/>
        </w:rPr>
        <w:t xml:space="preserve">niche manufacturers can provide the required parts </w:t>
      </w:r>
      <w:r w:rsidR="00F04A1B" w:rsidRPr="009B6855">
        <w:rPr>
          <w:i/>
        </w:rPr>
        <w:lastRenderedPageBreak/>
        <w:t>where the criticality of the part can bare the cost of such a premium part</w:t>
      </w:r>
      <w:r w:rsidR="00A26DBB" w:rsidRPr="009B6855">
        <w:rPr>
          <w:i/>
        </w:rPr>
        <w:t xml:space="preserve"> to allow the continued manufacturing of highly specialized equipment like electron microscopes.</w:t>
      </w:r>
      <w:r w:rsidR="00A26DBB">
        <w:t xml:space="preserve"> </w:t>
      </w:r>
    </w:p>
    <w:p w14:paraId="6D5F663A" w14:textId="5528107C" w:rsidR="00A26DBB" w:rsidRDefault="00A26DBB" w:rsidP="009B6855">
      <w:pPr>
        <w:pStyle w:val="6Listnumbered"/>
        <w:numPr>
          <w:ilvl w:val="1"/>
          <w:numId w:val="39"/>
        </w:numPr>
        <w:rPr>
          <w:rStyle w:val="Standard1"/>
          <w:lang w:eastAsia="nl-BE"/>
        </w:rPr>
      </w:pPr>
      <w:r>
        <w:rPr>
          <w:rStyle w:val="Standard1"/>
          <w:lang w:eastAsia="nl-BE"/>
        </w:rPr>
        <w:t xml:space="preserve">Do you know of any niche manufacturers that supply electrical contacts containing cadmium after 2025? </w:t>
      </w:r>
    </w:p>
    <w:p w14:paraId="7D0D5510" w14:textId="79338974" w:rsidR="009B6855" w:rsidRPr="006F0FF4" w:rsidRDefault="00804B2E" w:rsidP="009B6855">
      <w:pPr>
        <w:pStyle w:val="6Listnumbered"/>
        <w:numPr>
          <w:ilvl w:val="1"/>
          <w:numId w:val="39"/>
        </w:numPr>
        <w:rPr>
          <w:rStyle w:val="Standard1"/>
          <w:lang w:eastAsia="nl-BE"/>
        </w:rPr>
      </w:pPr>
      <w:r>
        <w:rPr>
          <w:rStyle w:val="Standard1"/>
          <w:lang w:eastAsia="nl-BE"/>
        </w:rPr>
        <w:t>W</w:t>
      </w:r>
      <w:r w:rsidR="009B6855">
        <w:rPr>
          <w:rStyle w:val="Standard1"/>
          <w:lang w:eastAsia="nl-BE"/>
        </w:rPr>
        <w:t xml:space="preserve">hich products </w:t>
      </w:r>
      <w:r>
        <w:rPr>
          <w:rStyle w:val="Standard1"/>
          <w:lang w:eastAsia="nl-BE"/>
        </w:rPr>
        <w:t xml:space="preserve">do </w:t>
      </w:r>
      <w:r w:rsidR="009B6855">
        <w:rPr>
          <w:rStyle w:val="Standard1"/>
          <w:lang w:eastAsia="nl-BE"/>
        </w:rPr>
        <w:t xml:space="preserve">these niche manufacturers offer? </w:t>
      </w:r>
    </w:p>
    <w:p w14:paraId="7F628FA5" w14:textId="034C1DB2" w:rsidR="006F0FF4" w:rsidRDefault="006F0FF4" w:rsidP="006F0FF4">
      <w:pPr>
        <w:pStyle w:val="6Listnumbered"/>
        <w:numPr>
          <w:ilvl w:val="0"/>
          <w:numId w:val="0"/>
        </w:numPr>
        <w:autoSpaceDE w:val="0"/>
        <w:autoSpaceDN w:val="0"/>
        <w:adjustRightInd w:val="0"/>
        <w:spacing w:after="0"/>
        <w:ind w:left="644" w:hanging="360"/>
        <w:rPr>
          <w:rFonts w:cs="Arial"/>
        </w:rPr>
      </w:pPr>
    </w:p>
    <w:p w14:paraId="1A1BE4B9" w14:textId="2E83E52E" w:rsidR="006F0FF4" w:rsidRPr="00623744" w:rsidRDefault="00A26DBB" w:rsidP="009B6855">
      <w:pPr>
        <w:pStyle w:val="6Listnumbered"/>
        <w:rPr>
          <w:i/>
        </w:rPr>
      </w:pPr>
      <w:r w:rsidRPr="00623744">
        <w:rPr>
          <w:i/>
        </w:rPr>
        <w:t xml:space="preserve">TMC state </w:t>
      </w:r>
      <w:r w:rsidR="00623744" w:rsidRPr="00623744">
        <w:rPr>
          <w:i/>
        </w:rPr>
        <w:t xml:space="preserve">in the clarification questionnaire </w:t>
      </w:r>
      <w:r w:rsidRPr="00623744">
        <w:rPr>
          <w:i/>
        </w:rPr>
        <w:t xml:space="preserve">that their </w:t>
      </w:r>
      <w:r w:rsidR="009B6855" w:rsidRPr="00623744">
        <w:rPr>
          <w:i/>
        </w:rPr>
        <w:t xml:space="preserve">members’ IMCIs have model life times of 10 years on average, i.e. a model of </w:t>
      </w:r>
      <w:r w:rsidR="00623744" w:rsidRPr="00623744">
        <w:rPr>
          <w:i/>
        </w:rPr>
        <w:t xml:space="preserve">an </w:t>
      </w:r>
      <w:r w:rsidR="009B6855" w:rsidRPr="00623744">
        <w:rPr>
          <w:i/>
        </w:rPr>
        <w:t xml:space="preserve">IMCI is produced is produced and placed on the market for around 10 years until it is replaced by a new model. </w:t>
      </w:r>
      <w:r w:rsidR="00623744" w:rsidRPr="00623744">
        <w:rPr>
          <w:i/>
        </w:rPr>
        <w:t xml:space="preserve">In the light of the rapid technological development, this is feasible nevertheless IMCIs TMC members’ IMCIs are limited by physics rather than technology changes. </w:t>
      </w:r>
    </w:p>
    <w:p w14:paraId="118151CE" w14:textId="21B58AB0" w:rsidR="00623744" w:rsidRDefault="00623744" w:rsidP="00623744">
      <w:pPr>
        <w:pStyle w:val="6Listnumbered"/>
        <w:numPr>
          <w:ilvl w:val="0"/>
          <w:numId w:val="0"/>
        </w:numPr>
        <w:ind w:left="644"/>
      </w:pPr>
      <w:r>
        <w:t>Do you support the above statements</w:t>
      </w:r>
      <w:r w:rsidR="00DA2AA2">
        <w:t xml:space="preserve">, in particular also with respect to the substitution or elimination of cadmium in electrical contacts? </w:t>
      </w:r>
    </w:p>
    <w:p w14:paraId="6300806F" w14:textId="254C0036" w:rsidR="00623744" w:rsidRDefault="00623744" w:rsidP="00623744">
      <w:pPr>
        <w:pStyle w:val="6Listnumbered"/>
        <w:numPr>
          <w:ilvl w:val="0"/>
          <w:numId w:val="0"/>
        </w:numPr>
        <w:ind w:left="644"/>
      </w:pPr>
    </w:p>
    <w:p w14:paraId="02BF3A2B" w14:textId="77777777" w:rsidR="00DA2AA2" w:rsidRDefault="00654A93" w:rsidP="00867926">
      <w:pPr>
        <w:pStyle w:val="6Listnumbered"/>
        <w:rPr>
          <w:rStyle w:val="Standard1"/>
          <w:rFonts w:cs="Times New Roman"/>
          <w:lang w:eastAsia="nl-BE"/>
        </w:rPr>
      </w:pPr>
      <w:r>
        <w:rPr>
          <w:rStyle w:val="Standard1"/>
          <w:rFonts w:cs="Times New Roman"/>
          <w:lang w:eastAsia="nl-BE"/>
        </w:rPr>
        <w:t xml:space="preserve">TMC provided a socioeconomic analysis related to the above exemption request. The document is available online in the consultation folder for this exemption. </w:t>
      </w:r>
    </w:p>
    <w:p w14:paraId="6A639543" w14:textId="0EA43664" w:rsidR="00654A93" w:rsidRDefault="00654A93" w:rsidP="00DA2AA2">
      <w:pPr>
        <w:pStyle w:val="6Listnumbered"/>
        <w:numPr>
          <w:ilvl w:val="1"/>
          <w:numId w:val="39"/>
        </w:numPr>
        <w:rPr>
          <w:rStyle w:val="Standard1"/>
          <w:rFonts w:cs="Times New Roman"/>
          <w:lang w:eastAsia="nl-BE"/>
        </w:rPr>
      </w:pPr>
      <w:r>
        <w:rPr>
          <w:rStyle w:val="Standard1"/>
          <w:rFonts w:cs="Times New Roman"/>
          <w:lang w:eastAsia="nl-BE"/>
        </w:rPr>
        <w:t xml:space="preserve">Do you agree with the underlying method, data and conclusions? </w:t>
      </w:r>
    </w:p>
    <w:p w14:paraId="4CC74C61" w14:textId="73629491" w:rsidR="00DA2AA2" w:rsidRDefault="00DA2AA2" w:rsidP="00DA2AA2">
      <w:pPr>
        <w:pStyle w:val="6Listnumbered"/>
        <w:numPr>
          <w:ilvl w:val="1"/>
          <w:numId w:val="39"/>
        </w:numPr>
        <w:rPr>
          <w:rStyle w:val="Standard1"/>
          <w:rFonts w:cs="Times New Roman"/>
          <w:lang w:eastAsia="nl-BE"/>
        </w:rPr>
      </w:pPr>
      <w:r>
        <w:rPr>
          <w:rStyle w:val="Standard1"/>
          <w:rFonts w:cs="Times New Roman"/>
          <w:lang w:eastAsia="nl-BE"/>
        </w:rPr>
        <w:t xml:space="preserve">Do you have different or additional information as to the socioeconomic impacts that might arise if exemption 8(b) would be renewed as exemption 8(b)(II) instead of 8(b)? </w:t>
      </w:r>
    </w:p>
    <w:p w14:paraId="6886F439" w14:textId="266575D1" w:rsidR="006E2195" w:rsidRDefault="006E2195" w:rsidP="00882A9E">
      <w:pPr>
        <w:pStyle w:val="6Listnumbered"/>
        <w:numPr>
          <w:ilvl w:val="0"/>
          <w:numId w:val="0"/>
        </w:numPr>
        <w:ind w:left="644" w:hanging="360"/>
        <w:rPr>
          <w:rStyle w:val="Standard1"/>
          <w:rFonts w:cs="Times New Roman"/>
          <w:lang w:eastAsia="fr-FR"/>
        </w:rPr>
      </w:pPr>
    </w:p>
    <w:p w14:paraId="1D65A75F" w14:textId="0A680EB2" w:rsidR="0008700E" w:rsidRDefault="0008700E" w:rsidP="00882A9E">
      <w:pPr>
        <w:pStyle w:val="6Listnumbered"/>
        <w:numPr>
          <w:ilvl w:val="0"/>
          <w:numId w:val="0"/>
        </w:numPr>
        <w:ind w:left="644" w:hanging="360"/>
        <w:rPr>
          <w:rStyle w:val="Standard1"/>
          <w:rFonts w:cs="Times New Roman"/>
          <w:lang w:eastAsia="fr-FR"/>
        </w:rPr>
      </w:pPr>
    </w:p>
    <w:p w14:paraId="55088679" w14:textId="77777777" w:rsidR="0008700E" w:rsidRDefault="0008700E" w:rsidP="00882A9E">
      <w:pPr>
        <w:pStyle w:val="6Listnumbered"/>
        <w:numPr>
          <w:ilvl w:val="0"/>
          <w:numId w:val="0"/>
        </w:numPr>
        <w:ind w:left="644" w:hanging="360"/>
        <w:rPr>
          <w:rStyle w:val="Standard1"/>
          <w:rFonts w:cs="Times New Roman"/>
          <w:lang w:eastAsia="fr-FR"/>
        </w:rPr>
      </w:pPr>
    </w:p>
    <w:bookmarkEnd w:id="27"/>
    <w:p w14:paraId="5DAAD250" w14:textId="77777777" w:rsidR="0008700E" w:rsidRDefault="0008700E" w:rsidP="0008700E">
      <w:pPr>
        <w:suppressAutoHyphens/>
        <w:spacing w:after="200"/>
        <w:ind w:left="360"/>
        <w:jc w:val="left"/>
        <w:rPr>
          <w:rFonts w:ascii="Arial" w:hAnsi="Arial" w:cs="Arial"/>
          <w:b/>
          <w:sz w:val="22"/>
        </w:rPr>
      </w:pPr>
      <w:r>
        <w:rPr>
          <w:rFonts w:ascii="Arial" w:hAnsi="Arial" w:cs="Arial"/>
          <w:b/>
          <w:sz w:val="22"/>
        </w:rPr>
        <w:t>Please note that answers to these questions will be published as part of the evaluation of this exemption request. If your answers contain confidential information, please provide a version that can be made public along with a confidential version in which proprietary information is clearly marked. Additionally, please also add “confidential” to the file name.</w:t>
      </w:r>
    </w:p>
    <w:p w14:paraId="7D533979" w14:textId="77777777" w:rsidR="0008700E" w:rsidRDefault="0008700E" w:rsidP="0008700E">
      <w:pPr>
        <w:suppressAutoHyphens/>
        <w:spacing w:after="200"/>
        <w:ind w:left="360"/>
        <w:jc w:val="left"/>
        <w:rPr>
          <w:rFonts w:ascii="Open Sans" w:hAnsi="Open Sans" w:cs="Calibri"/>
          <w:sz w:val="20"/>
        </w:rPr>
      </w:pPr>
      <w:r>
        <w:rPr>
          <w:rFonts w:ascii="Arial" w:hAnsi="Arial" w:cs="Arial"/>
          <w:b/>
          <w:sz w:val="22"/>
        </w:rPr>
        <w:t xml:space="preserve">We ask you to kindly provide the information in formats that allow copying text, figures and tables so that they can be included into the review report. </w:t>
      </w:r>
    </w:p>
    <w:p w14:paraId="7CD0E52B" w14:textId="77777777" w:rsidR="0008700E" w:rsidRDefault="0008700E" w:rsidP="0008700E">
      <w:pPr>
        <w:suppressAutoHyphens/>
        <w:spacing w:after="200"/>
        <w:ind w:left="360"/>
        <w:jc w:val="left"/>
      </w:pPr>
      <w:r>
        <w:rPr>
          <w:rFonts w:ascii="Arial" w:hAnsi="Arial" w:cs="Arial"/>
          <w:b/>
          <w:sz w:val="22"/>
        </w:rPr>
        <w:t>Please do not forget to provide your contact details (Name, Organisation, e-mail and phone number) so that the project team can contact you in case there are questions concerning your contribution.</w:t>
      </w:r>
    </w:p>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rFonts w:ascii="Arial" w:eastAsiaTheme="minorEastAsia" w:hAnsi="Arial" w:cstheme="minorBidi"/>
          <w:bCs w:val="0"/>
          <w:smallCaps w:val="0"/>
          <w:noProof/>
          <w:color w:val="333333"/>
          <w:sz w:val="20"/>
          <w:szCs w:val="22"/>
        </w:rPr>
        <w:tag w:val="CitaviBibliography"/>
        <w:id w:val="1704898342"/>
        <w:placeholder>
          <w:docPart w:val="DefaultPlaceholder_-1854013440"/>
        </w:placeholder>
      </w:sdtPr>
      <w:sdtEndPr/>
      <w:sdtContent>
        <w:p w14:paraId="138B4801" w14:textId="77777777" w:rsidR="00AC1DC6" w:rsidRDefault="009D1592" w:rsidP="00AC1DC6">
          <w:pPr>
            <w:pStyle w:val="CitaviBibliographyHeading"/>
          </w:pPr>
          <w:r>
            <w:fldChar w:fldCharType="begin"/>
          </w:r>
          <w:r>
            <w:instrText>ADDIN CitaviBibliography</w:instrText>
          </w:r>
          <w:r>
            <w:fldChar w:fldCharType="separate"/>
          </w:r>
          <w:r w:rsidR="00AC1DC6">
            <w:t>References</w:t>
          </w:r>
        </w:p>
        <w:p w14:paraId="68DB8E46" w14:textId="4C7391A2" w:rsidR="00AC1DC6" w:rsidRDefault="00AC1DC6" w:rsidP="00AC1DC6">
          <w:pPr>
            <w:pStyle w:val="CitaviBibliographyEntry"/>
          </w:pPr>
          <w:bookmarkStart w:id="28" w:name="_CTVL0018462bde66c7e4126a550e19d3ae69eb7"/>
          <w:r>
            <w:t xml:space="preserve">Deubzer et al. (2022): Study to assess requests for renewal of 12 exemptions to Annex III of Directive 2011/65/EU Under the Framework Contract: Assistance to the Commission on technical, socio-economic and cost-benefit assessments related to the implementation and further development of EU waste legislation. Final Report. Pack 23. in cooperation with Dr. Otmar Deubzer (Fraunhofer IZM and UNITAR], Jana Rückschloss (Fraunhofer IZM) and Christian Clemm (UNITAR)Deubzer et al.Dr. Otmar Deubzer (Fraunhofer IZM and UNITAR]; Jana Rückschloss (Fraunhofer IZM); Christian Clemm (UNITAR)https://​data.europa.eu​/​doi/​10.2779/​507661Study to assess requests for renewal of 12 exemptions to Annex III of Directive 2011/65/EU Under the Framework Contract: </w:t>
          </w:r>
        </w:p>
        <w:p w14:paraId="2E8EC30E" w14:textId="5656C297" w:rsidR="009D1592" w:rsidRPr="00DC396D" w:rsidRDefault="00AC1DC6" w:rsidP="00A44B6A">
          <w:pPr>
            <w:pStyle w:val="CitaviBibliographyEntry"/>
          </w:pPr>
          <w:bookmarkStart w:id="29" w:name="_CTVL001ed84ee80ed2e4d41be99182694f97a33"/>
          <w:bookmarkEnd w:id="28"/>
          <w:r>
            <w:lastRenderedPageBreak/>
            <w:t>Gensch et al. (2016): Assistance to the Commission on Technological, Socio-Economic and Cost -Benefit Assessment Related to Exemptions from the Substance Restrictions in Electrical and Electronic Equipment - Study to assess renewal requests for 29 RoHS 2 Annex III exemptions</w:t>
          </w:r>
          <w:r w:rsidR="00804B2E">
            <w:t>,</w:t>
          </w:r>
          <w:r>
            <w:t xml:space="preserve"> in cooperation with Carl-Otto Gensch, Yifaat Baron, Markus Blepp, Katja Moch, Susanne Moritz, Oeko-Institut and Dr. Deubzer, Otmar, Fraunhofer Institut Zuverlässigkeit und Mikrointegration IZMGensch et al.Carl-Otto Gensch; Yifaat Baron, Markus Blepp, Katja Moch, Susanne Moritz, Oeko-Institut; Dr. Deubzer, Otmar, Fraunhofer Institut Zuverlässigkeit und Mikrointegration IZMhttps://​circabc.europa.eu​/​sd/​a/​eda9d68b-​6ac9-​4fb9-​8667-​5e561d8c957e/​RoHS-​Pack_​9_​Final_​Full_​report_​Lamps_​Alloys_​Solders_​June2016.pdf</w:t>
          </w:r>
          <w:bookmarkEnd w:id="29"/>
          <w:r w:rsidR="009D1592">
            <w:fldChar w:fldCharType="end"/>
          </w:r>
        </w:p>
      </w:sdtContent>
    </w:sdt>
    <w:sectPr w:rsidR="009D1592" w:rsidRPr="00DC396D" w:rsidSect="00D77EB8">
      <w:footerReference w:type="default" r:id="rId14"/>
      <w:headerReference w:type="first" r:id="rId15"/>
      <w:footerReference w:type="first" r:id="rId16"/>
      <w:pgSz w:w="11907" w:h="16839" w:code="9"/>
      <w:pgMar w:top="1418" w:right="1418" w:bottom="1418" w:left="1701" w:header="142"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7E58" w14:textId="77777777" w:rsidR="00703429" w:rsidRDefault="00703429">
      <w:r>
        <w:separator/>
      </w:r>
    </w:p>
  </w:endnote>
  <w:endnote w:type="continuationSeparator" w:id="0">
    <w:p w14:paraId="17B895D4" w14:textId="77777777" w:rsidR="00703429" w:rsidRDefault="00703429">
      <w:r>
        <w:continuationSeparator/>
      </w:r>
    </w:p>
  </w:endnote>
  <w:endnote w:type="continuationNotice" w:id="1">
    <w:p w14:paraId="26F69213" w14:textId="77777777" w:rsidR="00703429" w:rsidRDefault="007034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6C49" w14:textId="27EAD73F" w:rsidR="00F007F0" w:rsidRDefault="00F007F0" w:rsidP="00F007F0">
    <w:pPr>
      <w:pStyle w:val="Footer"/>
      <w:jc w:val="right"/>
    </w:pPr>
    <w:r>
      <w:fldChar w:fldCharType="begin"/>
    </w:r>
    <w:r>
      <w:instrText>PAGE   \* MERGEFORMAT</w:instrText>
    </w:r>
    <w:r>
      <w:fldChar w:fldCharType="separate"/>
    </w:r>
    <w:r>
      <w:rPr>
        <w:lang w:val="de-DE"/>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F7DF" w14:textId="77777777" w:rsidR="00703429" w:rsidRDefault="00703429">
      <w:r>
        <w:separator/>
      </w:r>
    </w:p>
  </w:footnote>
  <w:footnote w:type="continuationSeparator" w:id="0">
    <w:p w14:paraId="23768780" w14:textId="77777777" w:rsidR="00703429" w:rsidRDefault="00703429">
      <w:r>
        <w:continuationSeparator/>
      </w:r>
    </w:p>
  </w:footnote>
  <w:footnote w:type="continuationNotice" w:id="1">
    <w:p w14:paraId="45C80EE5" w14:textId="77777777" w:rsidR="00703429" w:rsidRDefault="00703429">
      <w:pPr>
        <w:spacing w:after="0"/>
      </w:pPr>
    </w:p>
  </w:footnote>
  <w:footnote w:id="2">
    <w:p w14:paraId="45996531" w14:textId="77777777" w:rsidR="00204294" w:rsidRPr="00BA495E" w:rsidRDefault="00204294" w:rsidP="00204294">
      <w:pPr>
        <w:pStyle w:val="footnote"/>
      </w:pPr>
      <w:r>
        <w:rPr>
          <w:rStyle w:val="FootnoteReference"/>
        </w:rPr>
        <w:footnoteRef/>
      </w:r>
      <w:r>
        <w:t xml:space="preserve"> It is implemented through </w:t>
      </w:r>
      <w:r w:rsidRPr="00672D1F">
        <w:t>the specific contract 070201/2020/832829/ENV.B.3 under the Framework contract ENV.B.3/FRA/2019/0017</w:t>
      </w:r>
    </w:p>
  </w:footnote>
  <w:footnote w:id="3">
    <w:p w14:paraId="43B0E7BA" w14:textId="4CDC1C88" w:rsidR="00B73840" w:rsidRPr="00B73840" w:rsidRDefault="00B73840">
      <w:pPr>
        <w:pStyle w:val="FootnoteText"/>
        <w:rPr>
          <w:lang w:val="de-DE"/>
        </w:rPr>
      </w:pPr>
      <w:r>
        <w:rPr>
          <w:rStyle w:val="FootnoteReference"/>
        </w:rPr>
        <w:footnoteRef/>
      </w:r>
      <w:r>
        <w:t xml:space="preserve"> </w:t>
      </w:r>
      <w:r>
        <w:rPr>
          <w:lang w:val="de-DE"/>
        </w:rPr>
        <w:t>C</w:t>
      </w:r>
      <w:r w:rsidR="002B41BF">
        <w:rPr>
          <w:lang w:val="de-DE"/>
        </w:rPr>
        <w:t xml:space="preserve">.f. the consultation web page for group 2 exemptions: </w:t>
      </w:r>
      <w:hyperlink r:id="rId1" w:history="1">
        <w:r w:rsidR="005F79C3" w:rsidRPr="0055412C">
          <w:rPr>
            <w:rStyle w:val="Hyperlink"/>
            <w:lang w:val="de-DE"/>
          </w:rPr>
          <w:t>https://rohs.biois.eu/requests2b.html</w:t>
        </w:r>
      </w:hyperlink>
      <w:r w:rsidR="005F79C3">
        <w:rPr>
          <w:lang w:val="de-DE"/>
        </w:rPr>
        <w:t xml:space="preserve"> </w:t>
      </w:r>
    </w:p>
  </w:footnote>
  <w:footnote w:id="4">
    <w:p w14:paraId="34E80F62" w14:textId="77777777" w:rsidR="00204294" w:rsidRPr="00D05732" w:rsidRDefault="00204294" w:rsidP="00867926">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available at </w:t>
      </w:r>
      <w:hyperlink r:id="rId2" w:history="1">
        <w:r w:rsidRPr="00BA495E">
          <w:rPr>
            <w:rStyle w:val="Hyperlink"/>
            <w:lang w:val="fr-FR"/>
          </w:rPr>
          <w:t>http://eur-lex.europa.eu/LexUriServ/LexUriServ.do?uri=CELEX:32011L0065:EN:NOT</w:t>
        </w:r>
      </w:hyperlink>
      <w:r w:rsidRPr="00BA495E">
        <w:rPr>
          <w:lang w:val="fr-FR"/>
        </w:rPr>
        <w:t xml:space="preserve"> </w:t>
      </w:r>
    </w:p>
  </w:footnote>
  <w:footnote w:id="5">
    <w:p w14:paraId="038903C4" w14:textId="77777777" w:rsidR="00957347" w:rsidRPr="005C38CD" w:rsidRDefault="00957347" w:rsidP="00957347">
      <w:pPr>
        <w:autoSpaceDE w:val="0"/>
        <w:autoSpaceDN w:val="0"/>
        <w:adjustRightInd w:val="0"/>
        <w:jc w:val="left"/>
      </w:pPr>
      <w:r>
        <w:rPr>
          <w:rStyle w:val="FootnoteReference"/>
        </w:rPr>
        <w:footnoteRef/>
      </w:r>
      <w:r>
        <w:t xml:space="preserve"> </w:t>
      </w:r>
      <w:r w:rsidRPr="0001517D">
        <w:rPr>
          <w:sz w:val="18"/>
          <w:szCs w:val="18"/>
        </w:rPr>
        <w:t>C.f.</w:t>
      </w:r>
      <w:r>
        <w:rPr>
          <w:sz w:val="18"/>
          <w:szCs w:val="18"/>
        </w:rPr>
        <w:t xml:space="preserve"> BIO IS, </w:t>
      </w:r>
      <w:hyperlink r:id="rId3" w:history="1">
        <w:r w:rsidRPr="00E41B3F">
          <w:rPr>
            <w:rStyle w:val="Hyperlink"/>
            <w:sz w:val="18"/>
            <w:szCs w:val="18"/>
          </w:rPr>
          <w:t>https://rohs.biois.eu/RoHS_Pack-23_Report_Final_20221220.pdf</w:t>
        </w:r>
      </w:hyperlink>
      <w:r>
        <w:rPr>
          <w:sz w:val="18"/>
          <w:szCs w:val="18"/>
        </w:rPr>
        <w:t xml:space="preserve"> </w:t>
      </w:r>
    </w:p>
  </w:footnote>
  <w:footnote w:id="6">
    <w:p w14:paraId="50BFF9D9" w14:textId="77777777" w:rsidR="0008700E" w:rsidRDefault="0008700E" w:rsidP="0008700E">
      <w:pPr>
        <w:pStyle w:val="FootnoteText"/>
        <w:rPr>
          <w:lang w:eastAsia="ja-JP"/>
        </w:rPr>
      </w:pPr>
      <w:r>
        <w:rPr>
          <w:rStyle w:val="FootnoteReference"/>
        </w:rPr>
        <w:footnoteRef/>
      </w:r>
      <w:r>
        <w:t xml:space="preserve"> </w:t>
      </w:r>
      <w:r>
        <w:rPr>
          <w:rFonts w:cs="Open Sans"/>
          <w:lang w:eastAsia="ja-JP"/>
        </w:rPr>
        <w:t xml:space="preserve">Consultation web page: </w:t>
      </w:r>
      <w:hyperlink r:id="rId4" w:history="1">
        <w:r>
          <w:rPr>
            <w:rStyle w:val="Hyperlink"/>
            <w:rFonts w:cs="Open Sans"/>
            <w:lang w:eastAsia="ja-JP"/>
          </w:rPr>
          <w:t>https://rohs.biois.eu/requests2.html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64C48D35"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2892E806">
          <wp:simplePos x="0" y="0"/>
          <wp:positionH relativeFrom="column">
            <wp:posOffset>2353310</wp:posOffset>
          </wp:positionH>
          <wp:positionV relativeFrom="paragraph">
            <wp:posOffset>-11430</wp:posOffset>
          </wp:positionV>
          <wp:extent cx="774065" cy="210185"/>
          <wp:effectExtent l="0" t="0" r="6985" b="0"/>
          <wp:wrapSquare wrapText="bothSides"/>
          <wp:docPr id="43"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44"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45"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7E8647A6"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0B3B5FFA">
          <wp:simplePos x="0" y="0"/>
          <wp:positionH relativeFrom="margin">
            <wp:posOffset>-914285</wp:posOffset>
          </wp:positionH>
          <wp:positionV relativeFrom="margin">
            <wp:posOffset>15240</wp:posOffset>
          </wp:positionV>
          <wp:extent cx="7868188" cy="8188036"/>
          <wp:effectExtent l="0" t="0" r="0" b="3810"/>
          <wp:wrapNone/>
          <wp:docPr id="4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477A8F"/>
    <w:multiLevelType w:val="hybridMultilevel"/>
    <w:tmpl w:val="C0A636AE"/>
    <w:lvl w:ilvl="0" w:tplc="B626505E">
      <w:start w:val="1"/>
      <w:numFmt w:val="decimal"/>
      <w:lvlText w:val="%1."/>
      <w:lvlJc w:val="left"/>
      <w:pPr>
        <w:ind w:left="720" w:hanging="360"/>
      </w:pPr>
    </w:lvl>
    <w:lvl w:ilvl="1" w:tplc="FC668586">
      <w:start w:val="6"/>
      <w:numFmt w:val="bullet"/>
      <w:lvlText w:val="—"/>
      <w:lvlJc w:val="left"/>
      <w:pPr>
        <w:ind w:left="1440" w:hanging="360"/>
      </w:pPr>
      <w:rPr>
        <w:rFonts w:ascii="Open Sans" w:eastAsia="Times New Roman" w:hAnsi="Open Sans" w:cs="Open San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6229F"/>
    <w:multiLevelType w:val="hybridMultilevel"/>
    <w:tmpl w:val="CECC1B52"/>
    <w:lvl w:ilvl="0" w:tplc="84EE25B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8"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3"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9"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0" w15:restartNumberingAfterBreak="0">
    <w:nsid w:val="649032B3"/>
    <w:multiLevelType w:val="hybridMultilevel"/>
    <w:tmpl w:val="F5042378"/>
    <w:lvl w:ilvl="0" w:tplc="2452A9A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6F6E42"/>
    <w:multiLevelType w:val="hybridMultilevel"/>
    <w:tmpl w:val="9B048764"/>
    <w:lvl w:ilvl="0" w:tplc="75B4EBB0">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6"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296644419">
    <w:abstractNumId w:val="1"/>
  </w:num>
  <w:num w:numId="2" w16cid:durableId="1334525617">
    <w:abstractNumId w:val="0"/>
  </w:num>
  <w:num w:numId="3" w16cid:durableId="2008172007">
    <w:abstractNumId w:val="22"/>
  </w:num>
  <w:num w:numId="4" w16cid:durableId="1793939080">
    <w:abstractNumId w:val="14"/>
  </w:num>
  <w:num w:numId="5" w16cid:durableId="1092431493">
    <w:abstractNumId w:val="20"/>
  </w:num>
  <w:num w:numId="6" w16cid:durableId="1367831919">
    <w:abstractNumId w:val="38"/>
  </w:num>
  <w:num w:numId="7" w16cid:durableId="932127249">
    <w:abstractNumId w:val="42"/>
  </w:num>
  <w:num w:numId="8" w16cid:durableId="326713117">
    <w:abstractNumId w:val="18"/>
  </w:num>
  <w:num w:numId="9" w16cid:durableId="932739214">
    <w:abstractNumId w:val="36"/>
  </w:num>
  <w:num w:numId="10" w16cid:durableId="1072894952">
    <w:abstractNumId w:val="35"/>
  </w:num>
  <w:num w:numId="11" w16cid:durableId="982272573">
    <w:abstractNumId w:val="28"/>
  </w:num>
  <w:num w:numId="12" w16cid:durableId="740058056">
    <w:abstractNumId w:val="33"/>
  </w:num>
  <w:num w:numId="13" w16cid:durableId="601302409">
    <w:abstractNumId w:val="11"/>
  </w:num>
  <w:num w:numId="14" w16cid:durableId="1638803235">
    <w:abstractNumId w:val="19"/>
  </w:num>
  <w:num w:numId="15" w16cid:durableId="1243566755">
    <w:abstractNumId w:val="10"/>
  </w:num>
  <w:num w:numId="16" w16cid:durableId="744227523">
    <w:abstractNumId w:val="15"/>
  </w:num>
  <w:num w:numId="17" w16cid:durableId="1106075810">
    <w:abstractNumId w:val="44"/>
  </w:num>
  <w:num w:numId="18" w16cid:durableId="1045716781">
    <w:abstractNumId w:val="29"/>
  </w:num>
  <w:num w:numId="19" w16cid:durableId="71392882">
    <w:abstractNumId w:val="8"/>
  </w:num>
  <w:num w:numId="20" w16cid:durableId="1056903345">
    <w:abstractNumId w:val="32"/>
  </w:num>
  <w:num w:numId="21" w16cid:durableId="2127119600">
    <w:abstractNumId w:val="30"/>
  </w:num>
  <w:num w:numId="22" w16cid:durableId="1683437014">
    <w:abstractNumId w:val="27"/>
  </w:num>
  <w:num w:numId="23" w16cid:durableId="46691270">
    <w:abstractNumId w:val="39"/>
  </w:num>
  <w:num w:numId="24" w16cid:durableId="1696072529">
    <w:abstractNumId w:val="34"/>
  </w:num>
  <w:num w:numId="25" w16cid:durableId="318731072">
    <w:abstractNumId w:val="13"/>
  </w:num>
  <w:num w:numId="26" w16cid:durableId="2116053879">
    <w:abstractNumId w:val="24"/>
  </w:num>
  <w:num w:numId="27" w16cid:durableId="221914335">
    <w:abstractNumId w:val="12"/>
  </w:num>
  <w:num w:numId="28" w16cid:durableId="1953975813">
    <w:abstractNumId w:val="23"/>
  </w:num>
  <w:num w:numId="29" w16cid:durableId="1936934528">
    <w:abstractNumId w:val="31"/>
  </w:num>
  <w:num w:numId="30" w16cid:durableId="2062367387">
    <w:abstractNumId w:val="6"/>
  </w:num>
  <w:num w:numId="31" w16cid:durableId="1468233380">
    <w:abstractNumId w:val="41"/>
  </w:num>
  <w:num w:numId="32" w16cid:durableId="938484390">
    <w:abstractNumId w:val="9"/>
  </w:num>
  <w:num w:numId="33" w16cid:durableId="1066494408">
    <w:abstractNumId w:val="21"/>
  </w:num>
  <w:num w:numId="34" w16cid:durableId="52389444">
    <w:abstractNumId w:val="3"/>
  </w:num>
  <w:num w:numId="35" w16cid:durableId="1135180672">
    <w:abstractNumId w:val="4"/>
  </w:num>
  <w:num w:numId="36" w16cid:durableId="1223253475">
    <w:abstractNumId w:val="7"/>
  </w:num>
  <w:num w:numId="37" w16cid:durableId="1271552896">
    <w:abstractNumId w:val="25"/>
  </w:num>
  <w:num w:numId="38" w16cid:durableId="1078089078">
    <w:abstractNumId w:val="43"/>
  </w:num>
  <w:num w:numId="39" w16cid:durableId="1332298804">
    <w:abstractNumId w:val="16"/>
  </w:num>
  <w:num w:numId="40" w16cid:durableId="1999578850">
    <w:abstractNumId w:val="46"/>
  </w:num>
  <w:num w:numId="41" w16cid:durableId="24601727">
    <w:abstractNumId w:val="37"/>
  </w:num>
  <w:num w:numId="42" w16cid:durableId="1399858149">
    <w:abstractNumId w:val="26"/>
  </w:num>
  <w:num w:numId="43" w16cid:durableId="20130395">
    <w:abstractNumId w:val="17"/>
  </w:num>
  <w:num w:numId="44" w16cid:durableId="375813503">
    <w:abstractNumId w:val="5"/>
  </w:num>
  <w:num w:numId="45" w16cid:durableId="1603758256">
    <w:abstractNumId w:val="45"/>
  </w:num>
  <w:num w:numId="46" w16cid:durableId="49619365">
    <w:abstractNumId w:val="2"/>
  </w:num>
  <w:num w:numId="47" w16cid:durableId="1102266326">
    <w:abstractNumId w:val="40"/>
  </w:num>
  <w:num w:numId="48" w16cid:durableId="677731773">
    <w:abstractNumId w:val="45"/>
    <w:lvlOverride w:ilvl="0">
      <w:startOverride w:val="1"/>
    </w:lvlOverride>
  </w:num>
  <w:num w:numId="49" w16cid:durableId="1080062937">
    <w:abstractNumId w:val="16"/>
  </w:num>
  <w:num w:numId="50" w16cid:durableId="1675839636">
    <w:abstractNumId w:val="16"/>
  </w:num>
  <w:num w:numId="51" w16cid:durableId="1223567451">
    <w:abstractNumId w:val="16"/>
  </w:num>
  <w:num w:numId="52" w16cid:durableId="1581911816">
    <w:abstractNumId w:val="16"/>
  </w:num>
  <w:num w:numId="53" w16cid:durableId="252205271">
    <w:abstractNumId w:val="16"/>
  </w:num>
  <w:num w:numId="54" w16cid:durableId="1272204740">
    <w:abstractNumId w:val="16"/>
    <w:lvlOverride w:ilvl="0">
      <w:startOverride w:val="1"/>
    </w:lvlOverride>
  </w:num>
  <w:num w:numId="55" w16cid:durableId="1055665163">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1FA4"/>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1CF8"/>
    <w:rsid w:val="0002243A"/>
    <w:rsid w:val="00022534"/>
    <w:rsid w:val="00023B84"/>
    <w:rsid w:val="0002439A"/>
    <w:rsid w:val="000244C4"/>
    <w:rsid w:val="00024686"/>
    <w:rsid w:val="000273C6"/>
    <w:rsid w:val="0002779C"/>
    <w:rsid w:val="00030154"/>
    <w:rsid w:val="00030AFE"/>
    <w:rsid w:val="000312FE"/>
    <w:rsid w:val="0003135A"/>
    <w:rsid w:val="000316EC"/>
    <w:rsid w:val="00031B0A"/>
    <w:rsid w:val="00031B25"/>
    <w:rsid w:val="00034D02"/>
    <w:rsid w:val="00035095"/>
    <w:rsid w:val="0003531E"/>
    <w:rsid w:val="000368E2"/>
    <w:rsid w:val="000375FE"/>
    <w:rsid w:val="00040CF9"/>
    <w:rsid w:val="00041584"/>
    <w:rsid w:val="00041709"/>
    <w:rsid w:val="00041984"/>
    <w:rsid w:val="00041E23"/>
    <w:rsid w:val="000420DD"/>
    <w:rsid w:val="000426F7"/>
    <w:rsid w:val="00042BBC"/>
    <w:rsid w:val="00043D0A"/>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8700E"/>
    <w:rsid w:val="0009096B"/>
    <w:rsid w:val="00090C1D"/>
    <w:rsid w:val="000913FE"/>
    <w:rsid w:val="000916EC"/>
    <w:rsid w:val="000924D5"/>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E02"/>
    <w:rsid w:val="000C3B03"/>
    <w:rsid w:val="000C43F5"/>
    <w:rsid w:val="000C44EF"/>
    <w:rsid w:val="000C4CD5"/>
    <w:rsid w:val="000C503B"/>
    <w:rsid w:val="000C5348"/>
    <w:rsid w:val="000C5F5B"/>
    <w:rsid w:val="000C6B25"/>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462"/>
    <w:rsid w:val="0010663C"/>
    <w:rsid w:val="00107656"/>
    <w:rsid w:val="00110EA9"/>
    <w:rsid w:val="001115CF"/>
    <w:rsid w:val="0011258C"/>
    <w:rsid w:val="0011265F"/>
    <w:rsid w:val="00112C2B"/>
    <w:rsid w:val="00113715"/>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82"/>
    <w:rsid w:val="001349C5"/>
    <w:rsid w:val="00135471"/>
    <w:rsid w:val="0013565A"/>
    <w:rsid w:val="00135B21"/>
    <w:rsid w:val="00135B9E"/>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3BF9"/>
    <w:rsid w:val="00174B75"/>
    <w:rsid w:val="00176761"/>
    <w:rsid w:val="00177182"/>
    <w:rsid w:val="001776BF"/>
    <w:rsid w:val="0017793D"/>
    <w:rsid w:val="00180697"/>
    <w:rsid w:val="0018119C"/>
    <w:rsid w:val="00183076"/>
    <w:rsid w:val="00183B3B"/>
    <w:rsid w:val="00183BDF"/>
    <w:rsid w:val="00184599"/>
    <w:rsid w:val="00187729"/>
    <w:rsid w:val="001901AA"/>
    <w:rsid w:val="001903F9"/>
    <w:rsid w:val="001906E8"/>
    <w:rsid w:val="00194DE8"/>
    <w:rsid w:val="001953B9"/>
    <w:rsid w:val="001965CD"/>
    <w:rsid w:val="00196B43"/>
    <w:rsid w:val="00196B4D"/>
    <w:rsid w:val="00196F7D"/>
    <w:rsid w:val="001979BD"/>
    <w:rsid w:val="00197FBD"/>
    <w:rsid w:val="001A1154"/>
    <w:rsid w:val="001A1744"/>
    <w:rsid w:val="001A215B"/>
    <w:rsid w:val="001A2562"/>
    <w:rsid w:val="001A3654"/>
    <w:rsid w:val="001A5144"/>
    <w:rsid w:val="001A52B2"/>
    <w:rsid w:val="001A54E8"/>
    <w:rsid w:val="001A7233"/>
    <w:rsid w:val="001A729E"/>
    <w:rsid w:val="001A7D0C"/>
    <w:rsid w:val="001A7D78"/>
    <w:rsid w:val="001B01AE"/>
    <w:rsid w:val="001B2348"/>
    <w:rsid w:val="001B24B9"/>
    <w:rsid w:val="001B4DBD"/>
    <w:rsid w:val="001B5770"/>
    <w:rsid w:val="001B6370"/>
    <w:rsid w:val="001B6F86"/>
    <w:rsid w:val="001B7A66"/>
    <w:rsid w:val="001B7B5E"/>
    <w:rsid w:val="001C21B1"/>
    <w:rsid w:val="001C2EB8"/>
    <w:rsid w:val="001C3329"/>
    <w:rsid w:val="001C3853"/>
    <w:rsid w:val="001C5579"/>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7E8"/>
    <w:rsid w:val="00203C84"/>
    <w:rsid w:val="00203E53"/>
    <w:rsid w:val="00204294"/>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F85"/>
    <w:rsid w:val="0024023F"/>
    <w:rsid w:val="00241A4D"/>
    <w:rsid w:val="0024245F"/>
    <w:rsid w:val="00242A51"/>
    <w:rsid w:val="002452FD"/>
    <w:rsid w:val="00245BAC"/>
    <w:rsid w:val="002461A4"/>
    <w:rsid w:val="00247813"/>
    <w:rsid w:val="00247DC1"/>
    <w:rsid w:val="0025004F"/>
    <w:rsid w:val="00250AE4"/>
    <w:rsid w:val="002512AD"/>
    <w:rsid w:val="00252100"/>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256"/>
    <w:rsid w:val="0028254D"/>
    <w:rsid w:val="00282764"/>
    <w:rsid w:val="002835AA"/>
    <w:rsid w:val="002850F7"/>
    <w:rsid w:val="0028573B"/>
    <w:rsid w:val="00286281"/>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457"/>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27C0"/>
    <w:rsid w:val="002B41BF"/>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2EC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D11"/>
    <w:rsid w:val="003245ED"/>
    <w:rsid w:val="00324713"/>
    <w:rsid w:val="00325634"/>
    <w:rsid w:val="00326F35"/>
    <w:rsid w:val="00326F8B"/>
    <w:rsid w:val="003304DB"/>
    <w:rsid w:val="003305BC"/>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FF6"/>
    <w:rsid w:val="0038321C"/>
    <w:rsid w:val="0038486F"/>
    <w:rsid w:val="0038549A"/>
    <w:rsid w:val="0038553A"/>
    <w:rsid w:val="00386013"/>
    <w:rsid w:val="0038629B"/>
    <w:rsid w:val="0038663A"/>
    <w:rsid w:val="003878A4"/>
    <w:rsid w:val="003901E9"/>
    <w:rsid w:val="00390445"/>
    <w:rsid w:val="0039110A"/>
    <w:rsid w:val="00392007"/>
    <w:rsid w:val="003925ED"/>
    <w:rsid w:val="00393395"/>
    <w:rsid w:val="0039393E"/>
    <w:rsid w:val="00394366"/>
    <w:rsid w:val="0039451A"/>
    <w:rsid w:val="003946BE"/>
    <w:rsid w:val="0039573D"/>
    <w:rsid w:val="00395910"/>
    <w:rsid w:val="00395B87"/>
    <w:rsid w:val="00395CD7"/>
    <w:rsid w:val="00396D89"/>
    <w:rsid w:val="00397164"/>
    <w:rsid w:val="00397C36"/>
    <w:rsid w:val="00397D5B"/>
    <w:rsid w:val="003A0175"/>
    <w:rsid w:val="003A174C"/>
    <w:rsid w:val="003A356C"/>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A5"/>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F08"/>
    <w:rsid w:val="004010EE"/>
    <w:rsid w:val="00403F4E"/>
    <w:rsid w:val="0040468F"/>
    <w:rsid w:val="00404B56"/>
    <w:rsid w:val="0040511B"/>
    <w:rsid w:val="00406FD4"/>
    <w:rsid w:val="00407196"/>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5277"/>
    <w:rsid w:val="00476405"/>
    <w:rsid w:val="00477045"/>
    <w:rsid w:val="004806AA"/>
    <w:rsid w:val="00481FE5"/>
    <w:rsid w:val="00482A12"/>
    <w:rsid w:val="00482A82"/>
    <w:rsid w:val="00483382"/>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5DFE"/>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62F"/>
    <w:rsid w:val="004F2CD0"/>
    <w:rsid w:val="004F3072"/>
    <w:rsid w:val="004F333B"/>
    <w:rsid w:val="004F338A"/>
    <w:rsid w:val="004F3CC8"/>
    <w:rsid w:val="004F3F58"/>
    <w:rsid w:val="004F4042"/>
    <w:rsid w:val="004F41F1"/>
    <w:rsid w:val="004F51C0"/>
    <w:rsid w:val="004F61B0"/>
    <w:rsid w:val="004F6814"/>
    <w:rsid w:val="004F688B"/>
    <w:rsid w:val="004F75C4"/>
    <w:rsid w:val="0050016D"/>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6D"/>
    <w:rsid w:val="00512C77"/>
    <w:rsid w:val="00512E83"/>
    <w:rsid w:val="00515ACA"/>
    <w:rsid w:val="00515C4E"/>
    <w:rsid w:val="00515DF4"/>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40803"/>
    <w:rsid w:val="00540D96"/>
    <w:rsid w:val="00541272"/>
    <w:rsid w:val="0054175B"/>
    <w:rsid w:val="005418A3"/>
    <w:rsid w:val="00542908"/>
    <w:rsid w:val="00542DED"/>
    <w:rsid w:val="00543ACC"/>
    <w:rsid w:val="0054503B"/>
    <w:rsid w:val="00545EA6"/>
    <w:rsid w:val="0054698A"/>
    <w:rsid w:val="00546B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9C"/>
    <w:rsid w:val="005702B9"/>
    <w:rsid w:val="00570819"/>
    <w:rsid w:val="00570DC1"/>
    <w:rsid w:val="00571B89"/>
    <w:rsid w:val="00573671"/>
    <w:rsid w:val="005738A0"/>
    <w:rsid w:val="00575826"/>
    <w:rsid w:val="00575C87"/>
    <w:rsid w:val="0057635B"/>
    <w:rsid w:val="00576728"/>
    <w:rsid w:val="0057765C"/>
    <w:rsid w:val="00577E60"/>
    <w:rsid w:val="00577EC6"/>
    <w:rsid w:val="00580050"/>
    <w:rsid w:val="00580857"/>
    <w:rsid w:val="005816A2"/>
    <w:rsid w:val="005816EB"/>
    <w:rsid w:val="005818A3"/>
    <w:rsid w:val="00582E52"/>
    <w:rsid w:val="005846AB"/>
    <w:rsid w:val="005848E1"/>
    <w:rsid w:val="00584C7F"/>
    <w:rsid w:val="005858F3"/>
    <w:rsid w:val="00585A05"/>
    <w:rsid w:val="00586386"/>
    <w:rsid w:val="005863CA"/>
    <w:rsid w:val="00586BD7"/>
    <w:rsid w:val="00586CB2"/>
    <w:rsid w:val="00590E3B"/>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0C6"/>
    <w:rsid w:val="005E4A80"/>
    <w:rsid w:val="005E56DD"/>
    <w:rsid w:val="005E70C7"/>
    <w:rsid w:val="005E7A58"/>
    <w:rsid w:val="005F04E4"/>
    <w:rsid w:val="005F1165"/>
    <w:rsid w:val="005F1B3E"/>
    <w:rsid w:val="005F1EA4"/>
    <w:rsid w:val="005F4298"/>
    <w:rsid w:val="005F43B1"/>
    <w:rsid w:val="005F49D5"/>
    <w:rsid w:val="005F50C2"/>
    <w:rsid w:val="005F6004"/>
    <w:rsid w:val="005F6D1F"/>
    <w:rsid w:val="005F76FA"/>
    <w:rsid w:val="005F79C3"/>
    <w:rsid w:val="00600880"/>
    <w:rsid w:val="00600EE8"/>
    <w:rsid w:val="00601414"/>
    <w:rsid w:val="00601B08"/>
    <w:rsid w:val="00602C8D"/>
    <w:rsid w:val="00603880"/>
    <w:rsid w:val="00605453"/>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744"/>
    <w:rsid w:val="00623C28"/>
    <w:rsid w:val="00623ED0"/>
    <w:rsid w:val="0062418A"/>
    <w:rsid w:val="00624351"/>
    <w:rsid w:val="00624E10"/>
    <w:rsid w:val="00625DD8"/>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5FF3"/>
    <w:rsid w:val="006463D6"/>
    <w:rsid w:val="00646C13"/>
    <w:rsid w:val="0064767F"/>
    <w:rsid w:val="006477DE"/>
    <w:rsid w:val="0065039B"/>
    <w:rsid w:val="006505DE"/>
    <w:rsid w:val="00650B85"/>
    <w:rsid w:val="006521A6"/>
    <w:rsid w:val="0065275D"/>
    <w:rsid w:val="00652B6A"/>
    <w:rsid w:val="00654A93"/>
    <w:rsid w:val="0065509D"/>
    <w:rsid w:val="00655C94"/>
    <w:rsid w:val="00655CA0"/>
    <w:rsid w:val="006564A5"/>
    <w:rsid w:val="00656837"/>
    <w:rsid w:val="006572BD"/>
    <w:rsid w:val="00657B2F"/>
    <w:rsid w:val="00660F1F"/>
    <w:rsid w:val="00661657"/>
    <w:rsid w:val="006616CA"/>
    <w:rsid w:val="0066196E"/>
    <w:rsid w:val="006620FC"/>
    <w:rsid w:val="006626EC"/>
    <w:rsid w:val="00663DA8"/>
    <w:rsid w:val="00663FA7"/>
    <w:rsid w:val="006645F4"/>
    <w:rsid w:val="00664B4A"/>
    <w:rsid w:val="00665280"/>
    <w:rsid w:val="006653D2"/>
    <w:rsid w:val="00665886"/>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3416"/>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43F5"/>
    <w:rsid w:val="00695A7B"/>
    <w:rsid w:val="00695DAD"/>
    <w:rsid w:val="00696241"/>
    <w:rsid w:val="006972B3"/>
    <w:rsid w:val="00697BB3"/>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478B"/>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195"/>
    <w:rsid w:val="006E23A8"/>
    <w:rsid w:val="006E33C0"/>
    <w:rsid w:val="006E3524"/>
    <w:rsid w:val="006E4DDC"/>
    <w:rsid w:val="006E52DD"/>
    <w:rsid w:val="006E5706"/>
    <w:rsid w:val="006E5B4A"/>
    <w:rsid w:val="006E640F"/>
    <w:rsid w:val="006E7544"/>
    <w:rsid w:val="006F0069"/>
    <w:rsid w:val="006F0FF4"/>
    <w:rsid w:val="006F140D"/>
    <w:rsid w:val="006F2002"/>
    <w:rsid w:val="006F2E27"/>
    <w:rsid w:val="006F2FBC"/>
    <w:rsid w:val="006F3042"/>
    <w:rsid w:val="006F3105"/>
    <w:rsid w:val="006F3961"/>
    <w:rsid w:val="006F5383"/>
    <w:rsid w:val="006F5517"/>
    <w:rsid w:val="006F5DA9"/>
    <w:rsid w:val="0070010C"/>
    <w:rsid w:val="007009B9"/>
    <w:rsid w:val="00700D1C"/>
    <w:rsid w:val="00700F4C"/>
    <w:rsid w:val="007014C3"/>
    <w:rsid w:val="00701705"/>
    <w:rsid w:val="00702FFE"/>
    <w:rsid w:val="00703429"/>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DB"/>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F41"/>
    <w:rsid w:val="00775BC5"/>
    <w:rsid w:val="00775DC5"/>
    <w:rsid w:val="00776315"/>
    <w:rsid w:val="0077785B"/>
    <w:rsid w:val="0078057F"/>
    <w:rsid w:val="00781294"/>
    <w:rsid w:val="00781375"/>
    <w:rsid w:val="007820FD"/>
    <w:rsid w:val="00782D3D"/>
    <w:rsid w:val="007850F8"/>
    <w:rsid w:val="00785578"/>
    <w:rsid w:val="00785D4A"/>
    <w:rsid w:val="00785F60"/>
    <w:rsid w:val="00786076"/>
    <w:rsid w:val="00787772"/>
    <w:rsid w:val="00787BB6"/>
    <w:rsid w:val="0079010D"/>
    <w:rsid w:val="00790574"/>
    <w:rsid w:val="00790BAE"/>
    <w:rsid w:val="00792E63"/>
    <w:rsid w:val="0079351E"/>
    <w:rsid w:val="007943C6"/>
    <w:rsid w:val="007A0212"/>
    <w:rsid w:val="007A0562"/>
    <w:rsid w:val="007A0E3E"/>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1BF9"/>
    <w:rsid w:val="007E2E53"/>
    <w:rsid w:val="007E3938"/>
    <w:rsid w:val="007E398F"/>
    <w:rsid w:val="007E4242"/>
    <w:rsid w:val="007E479B"/>
    <w:rsid w:val="007E4F78"/>
    <w:rsid w:val="007E660F"/>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4B2E"/>
    <w:rsid w:val="008056FA"/>
    <w:rsid w:val="00805CC4"/>
    <w:rsid w:val="0080679B"/>
    <w:rsid w:val="00806CFA"/>
    <w:rsid w:val="0080731F"/>
    <w:rsid w:val="008109D9"/>
    <w:rsid w:val="00810D8B"/>
    <w:rsid w:val="0081257A"/>
    <w:rsid w:val="008126BE"/>
    <w:rsid w:val="00812BC0"/>
    <w:rsid w:val="008139F8"/>
    <w:rsid w:val="00813EC7"/>
    <w:rsid w:val="00814CDD"/>
    <w:rsid w:val="00814F59"/>
    <w:rsid w:val="00815992"/>
    <w:rsid w:val="00816350"/>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28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1F4"/>
    <w:rsid w:val="008469CE"/>
    <w:rsid w:val="00847763"/>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926"/>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2A9E"/>
    <w:rsid w:val="0088421F"/>
    <w:rsid w:val="008842D2"/>
    <w:rsid w:val="0088467F"/>
    <w:rsid w:val="008849B7"/>
    <w:rsid w:val="00884F80"/>
    <w:rsid w:val="00884FC9"/>
    <w:rsid w:val="00885370"/>
    <w:rsid w:val="008861DA"/>
    <w:rsid w:val="008863F0"/>
    <w:rsid w:val="00887479"/>
    <w:rsid w:val="00887C40"/>
    <w:rsid w:val="00890A7A"/>
    <w:rsid w:val="00891213"/>
    <w:rsid w:val="008912E8"/>
    <w:rsid w:val="00892A92"/>
    <w:rsid w:val="00893AEC"/>
    <w:rsid w:val="00894868"/>
    <w:rsid w:val="00896B7B"/>
    <w:rsid w:val="00897263"/>
    <w:rsid w:val="00897C33"/>
    <w:rsid w:val="008A21E3"/>
    <w:rsid w:val="008A2297"/>
    <w:rsid w:val="008A26B7"/>
    <w:rsid w:val="008A3A45"/>
    <w:rsid w:val="008A5CFE"/>
    <w:rsid w:val="008A607D"/>
    <w:rsid w:val="008A628B"/>
    <w:rsid w:val="008A6444"/>
    <w:rsid w:val="008A69F9"/>
    <w:rsid w:val="008A6CF7"/>
    <w:rsid w:val="008A744A"/>
    <w:rsid w:val="008B02B9"/>
    <w:rsid w:val="008B0675"/>
    <w:rsid w:val="008B079B"/>
    <w:rsid w:val="008B08F4"/>
    <w:rsid w:val="008B0FCF"/>
    <w:rsid w:val="008B3901"/>
    <w:rsid w:val="008B4AFC"/>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4F2E"/>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6FF"/>
    <w:rsid w:val="00941975"/>
    <w:rsid w:val="00941DF9"/>
    <w:rsid w:val="009437D6"/>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347"/>
    <w:rsid w:val="00957903"/>
    <w:rsid w:val="009603D8"/>
    <w:rsid w:val="00960457"/>
    <w:rsid w:val="00962BC2"/>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4199"/>
    <w:rsid w:val="009B4BF7"/>
    <w:rsid w:val="009B6116"/>
    <w:rsid w:val="009B6301"/>
    <w:rsid w:val="009B6318"/>
    <w:rsid w:val="009B6855"/>
    <w:rsid w:val="009B68E4"/>
    <w:rsid w:val="009B6F2A"/>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1592"/>
    <w:rsid w:val="009D23F7"/>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3822"/>
    <w:rsid w:val="00A24A7B"/>
    <w:rsid w:val="00A255FF"/>
    <w:rsid w:val="00A25920"/>
    <w:rsid w:val="00A25BD2"/>
    <w:rsid w:val="00A25BEB"/>
    <w:rsid w:val="00A267EC"/>
    <w:rsid w:val="00A26DBB"/>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B6A"/>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5EBE"/>
    <w:rsid w:val="00A877D1"/>
    <w:rsid w:val="00A87C4F"/>
    <w:rsid w:val="00A90196"/>
    <w:rsid w:val="00A9230F"/>
    <w:rsid w:val="00A92E21"/>
    <w:rsid w:val="00A943DB"/>
    <w:rsid w:val="00A944D9"/>
    <w:rsid w:val="00A95F78"/>
    <w:rsid w:val="00A9728A"/>
    <w:rsid w:val="00A97E20"/>
    <w:rsid w:val="00AA0204"/>
    <w:rsid w:val="00AA1F4B"/>
    <w:rsid w:val="00AA20D5"/>
    <w:rsid w:val="00AA3348"/>
    <w:rsid w:val="00AA34A9"/>
    <w:rsid w:val="00AA386D"/>
    <w:rsid w:val="00AA4227"/>
    <w:rsid w:val="00AA479C"/>
    <w:rsid w:val="00AA5E6C"/>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1DC6"/>
    <w:rsid w:val="00AC2141"/>
    <w:rsid w:val="00AC2A77"/>
    <w:rsid w:val="00AC32D5"/>
    <w:rsid w:val="00AC397B"/>
    <w:rsid w:val="00AC3C68"/>
    <w:rsid w:val="00AC402F"/>
    <w:rsid w:val="00AC43E9"/>
    <w:rsid w:val="00AC4A23"/>
    <w:rsid w:val="00AC5C0D"/>
    <w:rsid w:val="00AC5D18"/>
    <w:rsid w:val="00AC6427"/>
    <w:rsid w:val="00AC70DD"/>
    <w:rsid w:val="00AC7C63"/>
    <w:rsid w:val="00AD000B"/>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F5D"/>
    <w:rsid w:val="00AE047D"/>
    <w:rsid w:val="00AE0E47"/>
    <w:rsid w:val="00AE1E2D"/>
    <w:rsid w:val="00AE4E74"/>
    <w:rsid w:val="00AE4F09"/>
    <w:rsid w:val="00AE54C2"/>
    <w:rsid w:val="00AE550B"/>
    <w:rsid w:val="00AE59FF"/>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C43"/>
    <w:rsid w:val="00B01306"/>
    <w:rsid w:val="00B02152"/>
    <w:rsid w:val="00B025DC"/>
    <w:rsid w:val="00B02D1E"/>
    <w:rsid w:val="00B03626"/>
    <w:rsid w:val="00B03817"/>
    <w:rsid w:val="00B03B7F"/>
    <w:rsid w:val="00B0552B"/>
    <w:rsid w:val="00B05637"/>
    <w:rsid w:val="00B05768"/>
    <w:rsid w:val="00B057AB"/>
    <w:rsid w:val="00B06889"/>
    <w:rsid w:val="00B07CCA"/>
    <w:rsid w:val="00B101F3"/>
    <w:rsid w:val="00B11F53"/>
    <w:rsid w:val="00B12480"/>
    <w:rsid w:val="00B12742"/>
    <w:rsid w:val="00B12C1C"/>
    <w:rsid w:val="00B13210"/>
    <w:rsid w:val="00B1401B"/>
    <w:rsid w:val="00B14134"/>
    <w:rsid w:val="00B14205"/>
    <w:rsid w:val="00B14F81"/>
    <w:rsid w:val="00B15429"/>
    <w:rsid w:val="00B155F2"/>
    <w:rsid w:val="00B1638C"/>
    <w:rsid w:val="00B16672"/>
    <w:rsid w:val="00B168F8"/>
    <w:rsid w:val="00B16938"/>
    <w:rsid w:val="00B16B29"/>
    <w:rsid w:val="00B17F7A"/>
    <w:rsid w:val="00B17FC0"/>
    <w:rsid w:val="00B20372"/>
    <w:rsid w:val="00B21726"/>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540"/>
    <w:rsid w:val="00B3483E"/>
    <w:rsid w:val="00B35336"/>
    <w:rsid w:val="00B35670"/>
    <w:rsid w:val="00B3592C"/>
    <w:rsid w:val="00B425C0"/>
    <w:rsid w:val="00B42681"/>
    <w:rsid w:val="00B43BF1"/>
    <w:rsid w:val="00B44CB0"/>
    <w:rsid w:val="00B45326"/>
    <w:rsid w:val="00B462FD"/>
    <w:rsid w:val="00B47EE5"/>
    <w:rsid w:val="00B5048F"/>
    <w:rsid w:val="00B50B22"/>
    <w:rsid w:val="00B51E90"/>
    <w:rsid w:val="00B51FE3"/>
    <w:rsid w:val="00B52625"/>
    <w:rsid w:val="00B52797"/>
    <w:rsid w:val="00B527ED"/>
    <w:rsid w:val="00B534EC"/>
    <w:rsid w:val="00B536D4"/>
    <w:rsid w:val="00B53D41"/>
    <w:rsid w:val="00B55092"/>
    <w:rsid w:val="00B551AD"/>
    <w:rsid w:val="00B56BD9"/>
    <w:rsid w:val="00B6002D"/>
    <w:rsid w:val="00B60093"/>
    <w:rsid w:val="00B60F9B"/>
    <w:rsid w:val="00B61478"/>
    <w:rsid w:val="00B6192C"/>
    <w:rsid w:val="00B620C2"/>
    <w:rsid w:val="00B62C0C"/>
    <w:rsid w:val="00B62C21"/>
    <w:rsid w:val="00B630A1"/>
    <w:rsid w:val="00B631A9"/>
    <w:rsid w:val="00B632E1"/>
    <w:rsid w:val="00B6685A"/>
    <w:rsid w:val="00B66F84"/>
    <w:rsid w:val="00B67611"/>
    <w:rsid w:val="00B67626"/>
    <w:rsid w:val="00B67936"/>
    <w:rsid w:val="00B70353"/>
    <w:rsid w:val="00B70D46"/>
    <w:rsid w:val="00B71752"/>
    <w:rsid w:val="00B7186C"/>
    <w:rsid w:val="00B724AD"/>
    <w:rsid w:val="00B73840"/>
    <w:rsid w:val="00B741F1"/>
    <w:rsid w:val="00B74837"/>
    <w:rsid w:val="00B74A6C"/>
    <w:rsid w:val="00B75B95"/>
    <w:rsid w:val="00B769B7"/>
    <w:rsid w:val="00B76C5F"/>
    <w:rsid w:val="00B76DF2"/>
    <w:rsid w:val="00B77D09"/>
    <w:rsid w:val="00B80A41"/>
    <w:rsid w:val="00B81C96"/>
    <w:rsid w:val="00B8226C"/>
    <w:rsid w:val="00B82863"/>
    <w:rsid w:val="00B82B70"/>
    <w:rsid w:val="00B82D0A"/>
    <w:rsid w:val="00B83041"/>
    <w:rsid w:val="00B8406E"/>
    <w:rsid w:val="00B8458F"/>
    <w:rsid w:val="00B84A9C"/>
    <w:rsid w:val="00B84ADF"/>
    <w:rsid w:val="00B850A1"/>
    <w:rsid w:val="00B86C28"/>
    <w:rsid w:val="00B8746A"/>
    <w:rsid w:val="00B908FD"/>
    <w:rsid w:val="00B9127D"/>
    <w:rsid w:val="00B9193E"/>
    <w:rsid w:val="00B91F8C"/>
    <w:rsid w:val="00B92EA0"/>
    <w:rsid w:val="00B93FD5"/>
    <w:rsid w:val="00B94528"/>
    <w:rsid w:val="00B94E9D"/>
    <w:rsid w:val="00B95205"/>
    <w:rsid w:val="00B95232"/>
    <w:rsid w:val="00B956B9"/>
    <w:rsid w:val="00B95F6E"/>
    <w:rsid w:val="00B96862"/>
    <w:rsid w:val="00B96C8A"/>
    <w:rsid w:val="00B97382"/>
    <w:rsid w:val="00B97D48"/>
    <w:rsid w:val="00BA0022"/>
    <w:rsid w:val="00BA0F68"/>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08C"/>
    <w:rsid w:val="00BD58E3"/>
    <w:rsid w:val="00BD60A3"/>
    <w:rsid w:val="00BD73D9"/>
    <w:rsid w:val="00BD7606"/>
    <w:rsid w:val="00BD7858"/>
    <w:rsid w:val="00BE06A3"/>
    <w:rsid w:val="00BE305A"/>
    <w:rsid w:val="00BE34E4"/>
    <w:rsid w:val="00BE3653"/>
    <w:rsid w:val="00BE3875"/>
    <w:rsid w:val="00BE3BE9"/>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8E2"/>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5F2A"/>
    <w:rsid w:val="00C06A8E"/>
    <w:rsid w:val="00C06BC3"/>
    <w:rsid w:val="00C07B71"/>
    <w:rsid w:val="00C110B8"/>
    <w:rsid w:val="00C11725"/>
    <w:rsid w:val="00C1185D"/>
    <w:rsid w:val="00C11C31"/>
    <w:rsid w:val="00C12AD7"/>
    <w:rsid w:val="00C12E32"/>
    <w:rsid w:val="00C13690"/>
    <w:rsid w:val="00C147D3"/>
    <w:rsid w:val="00C15659"/>
    <w:rsid w:val="00C20089"/>
    <w:rsid w:val="00C20633"/>
    <w:rsid w:val="00C20889"/>
    <w:rsid w:val="00C209D5"/>
    <w:rsid w:val="00C21F65"/>
    <w:rsid w:val="00C224FE"/>
    <w:rsid w:val="00C23612"/>
    <w:rsid w:val="00C23B2A"/>
    <w:rsid w:val="00C245E4"/>
    <w:rsid w:val="00C24C61"/>
    <w:rsid w:val="00C24C66"/>
    <w:rsid w:val="00C24D2D"/>
    <w:rsid w:val="00C254A0"/>
    <w:rsid w:val="00C2571C"/>
    <w:rsid w:val="00C25BF9"/>
    <w:rsid w:val="00C266C9"/>
    <w:rsid w:val="00C26AEF"/>
    <w:rsid w:val="00C26B72"/>
    <w:rsid w:val="00C300B7"/>
    <w:rsid w:val="00C301C3"/>
    <w:rsid w:val="00C3119D"/>
    <w:rsid w:val="00C3194D"/>
    <w:rsid w:val="00C31D96"/>
    <w:rsid w:val="00C3245D"/>
    <w:rsid w:val="00C32B4C"/>
    <w:rsid w:val="00C3358C"/>
    <w:rsid w:val="00C33936"/>
    <w:rsid w:val="00C344D4"/>
    <w:rsid w:val="00C355C3"/>
    <w:rsid w:val="00C36910"/>
    <w:rsid w:val="00C371A5"/>
    <w:rsid w:val="00C37C80"/>
    <w:rsid w:val="00C37D30"/>
    <w:rsid w:val="00C42D4C"/>
    <w:rsid w:val="00C44418"/>
    <w:rsid w:val="00C44AF4"/>
    <w:rsid w:val="00C452FE"/>
    <w:rsid w:val="00C45703"/>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3141"/>
    <w:rsid w:val="00C633A7"/>
    <w:rsid w:val="00C64A48"/>
    <w:rsid w:val="00C64B85"/>
    <w:rsid w:val="00C64F9A"/>
    <w:rsid w:val="00C6580B"/>
    <w:rsid w:val="00C65C50"/>
    <w:rsid w:val="00C66856"/>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0F59"/>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6D5"/>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2C36"/>
    <w:rsid w:val="00D13A66"/>
    <w:rsid w:val="00D13A94"/>
    <w:rsid w:val="00D13D4F"/>
    <w:rsid w:val="00D14E73"/>
    <w:rsid w:val="00D15E86"/>
    <w:rsid w:val="00D161FF"/>
    <w:rsid w:val="00D16820"/>
    <w:rsid w:val="00D16C82"/>
    <w:rsid w:val="00D21395"/>
    <w:rsid w:val="00D2281A"/>
    <w:rsid w:val="00D22D1A"/>
    <w:rsid w:val="00D22F1B"/>
    <w:rsid w:val="00D23889"/>
    <w:rsid w:val="00D24A5A"/>
    <w:rsid w:val="00D24B3B"/>
    <w:rsid w:val="00D24B81"/>
    <w:rsid w:val="00D253BE"/>
    <w:rsid w:val="00D254D6"/>
    <w:rsid w:val="00D25AD3"/>
    <w:rsid w:val="00D26436"/>
    <w:rsid w:val="00D26625"/>
    <w:rsid w:val="00D2707B"/>
    <w:rsid w:val="00D2740F"/>
    <w:rsid w:val="00D274C0"/>
    <w:rsid w:val="00D27EB6"/>
    <w:rsid w:val="00D31168"/>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77EB8"/>
    <w:rsid w:val="00D80370"/>
    <w:rsid w:val="00D809F1"/>
    <w:rsid w:val="00D8516E"/>
    <w:rsid w:val="00D863F7"/>
    <w:rsid w:val="00D8653B"/>
    <w:rsid w:val="00D8705A"/>
    <w:rsid w:val="00D87CFF"/>
    <w:rsid w:val="00D87E24"/>
    <w:rsid w:val="00D90F4B"/>
    <w:rsid w:val="00D91CBE"/>
    <w:rsid w:val="00D925D0"/>
    <w:rsid w:val="00D9340B"/>
    <w:rsid w:val="00D94456"/>
    <w:rsid w:val="00D94E1E"/>
    <w:rsid w:val="00D95084"/>
    <w:rsid w:val="00D95AEC"/>
    <w:rsid w:val="00D9623D"/>
    <w:rsid w:val="00D97FCA"/>
    <w:rsid w:val="00DA01A7"/>
    <w:rsid w:val="00DA01AB"/>
    <w:rsid w:val="00DA07A8"/>
    <w:rsid w:val="00DA1144"/>
    <w:rsid w:val="00DA11D2"/>
    <w:rsid w:val="00DA1FE5"/>
    <w:rsid w:val="00DA2111"/>
    <w:rsid w:val="00DA2444"/>
    <w:rsid w:val="00DA2AA2"/>
    <w:rsid w:val="00DA348E"/>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BD3"/>
    <w:rsid w:val="00DE1F41"/>
    <w:rsid w:val="00DE2BA9"/>
    <w:rsid w:val="00DE39CD"/>
    <w:rsid w:val="00DE7041"/>
    <w:rsid w:val="00DE77D2"/>
    <w:rsid w:val="00DE7892"/>
    <w:rsid w:val="00DE7D3F"/>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12247"/>
    <w:rsid w:val="00E146A8"/>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99B"/>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6C64"/>
    <w:rsid w:val="00E67139"/>
    <w:rsid w:val="00E706B8"/>
    <w:rsid w:val="00E71502"/>
    <w:rsid w:val="00E723ED"/>
    <w:rsid w:val="00E73A3D"/>
    <w:rsid w:val="00E743FD"/>
    <w:rsid w:val="00E74D9A"/>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4233"/>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23E7"/>
    <w:rsid w:val="00EC2681"/>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440"/>
    <w:rsid w:val="00EF0ACA"/>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7F0"/>
    <w:rsid w:val="00F008FA"/>
    <w:rsid w:val="00F0125B"/>
    <w:rsid w:val="00F01394"/>
    <w:rsid w:val="00F034C7"/>
    <w:rsid w:val="00F04A1B"/>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998"/>
    <w:rsid w:val="00F51AD2"/>
    <w:rsid w:val="00F5232F"/>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AB9"/>
    <w:rsid w:val="00F65E74"/>
    <w:rsid w:val="00F66C5D"/>
    <w:rsid w:val="00F705EF"/>
    <w:rsid w:val="00F70A90"/>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5612"/>
    <w:rsid w:val="00F856C2"/>
    <w:rsid w:val="00F857D1"/>
    <w:rsid w:val="00F86594"/>
    <w:rsid w:val="00F900BC"/>
    <w:rsid w:val="00F90EED"/>
    <w:rsid w:val="00F9233F"/>
    <w:rsid w:val="00F928B2"/>
    <w:rsid w:val="00F92F03"/>
    <w:rsid w:val="00F93A60"/>
    <w:rsid w:val="00F93BE8"/>
    <w:rsid w:val="00F965E3"/>
    <w:rsid w:val="00F9663F"/>
    <w:rsid w:val="00FA06C5"/>
    <w:rsid w:val="00FA082F"/>
    <w:rsid w:val="00FA18DC"/>
    <w:rsid w:val="00FA1BD1"/>
    <w:rsid w:val="00FA2805"/>
    <w:rsid w:val="00FA2A13"/>
    <w:rsid w:val="00FA3802"/>
    <w:rsid w:val="00FA3C29"/>
    <w:rsid w:val="00FA5401"/>
    <w:rsid w:val="00FA5A2F"/>
    <w:rsid w:val="00FA5E1E"/>
    <w:rsid w:val="00FA73D9"/>
    <w:rsid w:val="00FB0647"/>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1D6B"/>
    <w:rsid w:val="00FD26B0"/>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7476"/>
    <w:rsid w:val="00FE77E9"/>
    <w:rsid w:val="00FE7D31"/>
    <w:rsid w:val="00FF033A"/>
    <w:rsid w:val="00FF078B"/>
    <w:rsid w:val="00FF087A"/>
    <w:rsid w:val="00FF16E7"/>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margin" fillcolor="#002395" stroke="f">
      <v:fill color="#002395"/>
      <v:stroke on="f"/>
    </o:shapedefaults>
    <o:shapelayout v:ext="edit">
      <o:idmap v:ext="edit" data="1"/>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7612"/>
    <w:pPr>
      <w:spacing w:after="240"/>
      <w:jc w:val="both"/>
    </w:pPr>
    <w:rPr>
      <w:sz w:val="24"/>
      <w:lang w:val="en-GB" w:eastAsia="en-US"/>
    </w:rPr>
  </w:style>
  <w:style w:type="paragraph" w:styleId="Heading1">
    <w:name w:val="heading 1"/>
    <w:aliases w:val="1 Heading 1,2 Headline 1,NEA1"/>
    <w:basedOn w:val="Normal"/>
    <w:next w:val="Text1"/>
    <w:link w:val="Heading1Char"/>
    <w:uiPriority w:val="99"/>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07196"/>
    <w:pPr>
      <w:keepNext/>
      <w:keepLines/>
      <w:spacing w:before="36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4E14D8"/>
    <w:pPr>
      <w:ind w:left="142" w:hanging="142"/>
      <w:jc w:val="left"/>
    </w:pPr>
    <w:rPr>
      <w:rFonts w:ascii="Arial" w:hAnsi="Arial"/>
      <w:sz w:val="18"/>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eastAsiaTheme="minorEastAsi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eastAsiaTheme="minorEastAsi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eastAsiaTheme="minorEastAsi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eastAsiaTheme="minorEastAsi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eastAsiaTheme="minorEastAsi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eastAsiaTheme="minorEastAsi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eastAsiaTheme="minorEastAsi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4E14D8"/>
    <w:rPr>
      <w:rFonts w:ascii="Arial" w:hAnsi="Arial"/>
      <w:sz w:val="18"/>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07196"/>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eastAsiaTheme="minorEastAsia"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eastAsiaTheme="minorEastAsi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eastAsiaTheme="minorEastAsi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eastAsiaTheme="minorEastAsi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eastAsiaTheme="minorEastAsi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eastAsiaTheme="minorEastAsia"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eastAsiaTheme="minorEastAsia"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eastAsiaTheme="minorEastAsi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eastAsiaTheme="minorEastAsia"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eastAsiaTheme="minorEastAsi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uiPriority w:val="99"/>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uiPriority w:val="99"/>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4C5DFE"/>
    <w:pPr>
      <w:numPr>
        <w:numId w:val="39"/>
      </w:numPr>
      <w:spacing w:line="240" w:lineRule="auto"/>
    </w:pPr>
    <w:rPr>
      <w:i w:val="0"/>
    </w:rPr>
  </w:style>
  <w:style w:type="character" w:customStyle="1" w:styleId="6ListnumberedZchn">
    <w:name w:val="6 List numbered Zchn"/>
    <w:basedOn w:val="5ListbulletedZchn"/>
    <w:link w:val="6Listnumbered"/>
    <w:rsid w:val="004C5DFE"/>
    <w:rPr>
      <w:rFonts w:ascii="Arial" w:hAnsi="Arial"/>
      <w:i w:val="0"/>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qFormat/>
    <w:rsid w:val="00EA020A"/>
    <w:pPr>
      <w:numPr>
        <w:numId w:val="45"/>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eastAsiaTheme="minorEastAsi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eastAsiaTheme="minorEastAsi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eastAsiaTheme="minorEastAsi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eastAsiaTheme="minorEastAsia"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eastAsiaTheme="minorEastAsia"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eastAsiaTheme="minorEastAsia"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Headline1">
    <w:name w:val="Headline 1"/>
    <w:basedOn w:val="Heading1"/>
    <w:link w:val="Headline1Zchn"/>
    <w:qFormat/>
    <w:rsid w:val="00B95F6E"/>
    <w:pPr>
      <w:keepLines/>
      <w:tabs>
        <w:tab w:val="clear" w:pos="567"/>
      </w:tabs>
      <w:spacing w:before="600" w:after="240"/>
      <w:ind w:left="720" w:right="0" w:hanging="360"/>
    </w:pPr>
    <w:rPr>
      <w:rFonts w:ascii="Open Sans" w:eastAsia="Times" w:hAnsi="Open Sans" w:cs="Open Sans"/>
      <w:b/>
      <w:bCs/>
      <w:color w:val="469FDD"/>
      <w:kern w:val="32"/>
      <w:sz w:val="22"/>
      <w:szCs w:val="56"/>
      <w:lang w:val="fr-FR" w:eastAsia="fr-FR"/>
    </w:rPr>
  </w:style>
  <w:style w:type="character" w:customStyle="1" w:styleId="Headline1Zchn">
    <w:name w:val="Headline 1 Zchn"/>
    <w:link w:val="Headline1"/>
    <w:rsid w:val="00B95F6E"/>
    <w:rPr>
      <w:rFonts w:ascii="Open Sans" w:eastAsia="Times" w:hAnsi="Open Sans" w:cs="Open Sans"/>
      <w:b/>
      <w:bCs/>
      <w:color w:val="469FDD"/>
      <w:kern w:val="32"/>
      <w:sz w:val="22"/>
      <w:szCs w:val="5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16736772">
      <w:bodyDiv w:val="1"/>
      <w:marLeft w:val="0"/>
      <w:marRight w:val="0"/>
      <w:marTop w:val="0"/>
      <w:marBottom w:val="0"/>
      <w:divBdr>
        <w:top w:val="none" w:sz="0" w:space="0" w:color="auto"/>
        <w:left w:val="none" w:sz="0" w:space="0" w:color="auto"/>
        <w:bottom w:val="none" w:sz="0" w:space="0" w:color="auto"/>
        <w:right w:val="none" w:sz="0" w:space="0" w:color="auto"/>
      </w:divBdr>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RoHS_Pack-23_Report_Final_20221220.pdf" TargetMode="External"/><Relationship Id="rId2" Type="http://schemas.openxmlformats.org/officeDocument/2006/relationships/hyperlink" Target="http://eur-lex.europa.eu/LexUriServ/LexUriServ.do?uri=CELEX:32011L0065:EN:NOT" TargetMode="External"/><Relationship Id="rId1" Type="http://schemas.openxmlformats.org/officeDocument/2006/relationships/hyperlink" Target="https://rohs.biois.eu/requests2b.html" TargetMode="External"/><Relationship Id="rId4" Type="http://schemas.openxmlformats.org/officeDocument/2006/relationships/hyperlink" Target="https://rohs.biois.eu/requests2.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A2AACE-A73F-4E8A-864E-9F80C4031681}"/>
      </w:docPartPr>
      <w:docPartBody>
        <w:p w:rsidR="009324AC" w:rsidRDefault="00030B6E">
          <w:r w:rsidRPr="00C57A22">
            <w:rPr>
              <w:rStyle w:val="PlaceholderText"/>
            </w:rPr>
            <w:t>Click or tap here to enter text.</w:t>
          </w:r>
        </w:p>
      </w:docPartBody>
    </w:docPart>
    <w:docPart>
      <w:docPartPr>
        <w:name w:val="62C108170A664336B30197F6098ECD7A"/>
        <w:category>
          <w:name w:val="General"/>
          <w:gallery w:val="placeholder"/>
        </w:category>
        <w:types>
          <w:type w:val="bbPlcHdr"/>
        </w:types>
        <w:behaviors>
          <w:behavior w:val="content"/>
        </w:behaviors>
        <w:guid w:val="{9141846A-16AD-431F-B91B-D3EB32482092}"/>
      </w:docPartPr>
      <w:docPartBody>
        <w:p w:rsidR="009324AC" w:rsidRDefault="00030B6E" w:rsidP="00030B6E">
          <w:pPr>
            <w:pStyle w:val="62C108170A664336B30197F6098ECD7A"/>
          </w:pPr>
          <w:r w:rsidRPr="00C57A22">
            <w:rPr>
              <w:rStyle w:val="PlaceholderText"/>
            </w:rPr>
            <w:t>Click or tap here to enter text.</w:t>
          </w:r>
        </w:p>
      </w:docPartBody>
    </w:docPart>
    <w:docPart>
      <w:docPartPr>
        <w:name w:val="DB10544CBB1845528D7713F9A11235DF"/>
        <w:category>
          <w:name w:val="Allgemein"/>
          <w:gallery w:val="placeholder"/>
        </w:category>
        <w:types>
          <w:type w:val="bbPlcHdr"/>
        </w:types>
        <w:behaviors>
          <w:behavior w:val="content"/>
        </w:behaviors>
        <w:guid w:val="{7492E09D-6670-4997-B857-A8ECF14A6776}"/>
      </w:docPartPr>
      <w:docPartBody>
        <w:p w:rsidR="00675958" w:rsidRDefault="00254AA0" w:rsidP="00254AA0">
          <w:pPr>
            <w:pStyle w:val="DB10544CBB1845528D7713F9A11235DF"/>
          </w:pPr>
          <w:r w:rsidRPr="00C57A22">
            <w:rPr>
              <w:rStyle w:val="PlaceholderText"/>
            </w:rPr>
            <w:t>Click or tap here to enter text.</w:t>
          </w:r>
        </w:p>
      </w:docPartBody>
    </w:docPart>
    <w:docPart>
      <w:docPartPr>
        <w:name w:val="49CAE3E48F904FF2BAEFA9662899751F"/>
        <w:category>
          <w:name w:val="Allgemein"/>
          <w:gallery w:val="placeholder"/>
        </w:category>
        <w:types>
          <w:type w:val="bbPlcHdr"/>
        </w:types>
        <w:behaviors>
          <w:behavior w:val="content"/>
        </w:behaviors>
        <w:guid w:val="{5213BAA4-4D79-4804-A4EF-D152E2CB2B30}"/>
      </w:docPartPr>
      <w:docPartBody>
        <w:p w:rsidR="00675958" w:rsidRDefault="00254AA0" w:rsidP="00254AA0">
          <w:pPr>
            <w:pStyle w:val="49CAE3E48F904FF2BAEFA9662899751F"/>
          </w:pPr>
          <w:r w:rsidRPr="00C57A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F1"/>
    <w:rsid w:val="00016D58"/>
    <w:rsid w:val="000170FE"/>
    <w:rsid w:val="000219CB"/>
    <w:rsid w:val="00023B5E"/>
    <w:rsid w:val="000245F1"/>
    <w:rsid w:val="00030B6E"/>
    <w:rsid w:val="00035FC8"/>
    <w:rsid w:val="00054646"/>
    <w:rsid w:val="000628C3"/>
    <w:rsid w:val="00085B6D"/>
    <w:rsid w:val="000B0DA9"/>
    <w:rsid w:val="000D3946"/>
    <w:rsid w:val="0011676C"/>
    <w:rsid w:val="001B3A85"/>
    <w:rsid w:val="001B68AF"/>
    <w:rsid w:val="001C13D1"/>
    <w:rsid w:val="00241DF6"/>
    <w:rsid w:val="00254AA0"/>
    <w:rsid w:val="00257183"/>
    <w:rsid w:val="00281D92"/>
    <w:rsid w:val="00283A17"/>
    <w:rsid w:val="002A3FC5"/>
    <w:rsid w:val="002B574D"/>
    <w:rsid w:val="002E7FBE"/>
    <w:rsid w:val="003211C4"/>
    <w:rsid w:val="0033475A"/>
    <w:rsid w:val="00343749"/>
    <w:rsid w:val="003660C2"/>
    <w:rsid w:val="00391B1A"/>
    <w:rsid w:val="003964ED"/>
    <w:rsid w:val="003A708F"/>
    <w:rsid w:val="004233B1"/>
    <w:rsid w:val="00434989"/>
    <w:rsid w:val="00441946"/>
    <w:rsid w:val="004B7155"/>
    <w:rsid w:val="004C296C"/>
    <w:rsid w:val="004F3CC2"/>
    <w:rsid w:val="00557FB0"/>
    <w:rsid w:val="00560519"/>
    <w:rsid w:val="00575A32"/>
    <w:rsid w:val="00583BEB"/>
    <w:rsid w:val="00584BF6"/>
    <w:rsid w:val="00590222"/>
    <w:rsid w:val="00594E04"/>
    <w:rsid w:val="005B66AC"/>
    <w:rsid w:val="005C2AC0"/>
    <w:rsid w:val="005E4ECD"/>
    <w:rsid w:val="006003EC"/>
    <w:rsid w:val="00605EBB"/>
    <w:rsid w:val="006242DE"/>
    <w:rsid w:val="0066303F"/>
    <w:rsid w:val="00675958"/>
    <w:rsid w:val="006D3C0E"/>
    <w:rsid w:val="00710956"/>
    <w:rsid w:val="00711785"/>
    <w:rsid w:val="00711C79"/>
    <w:rsid w:val="00730B7D"/>
    <w:rsid w:val="00737E54"/>
    <w:rsid w:val="0075011C"/>
    <w:rsid w:val="00782A8F"/>
    <w:rsid w:val="00787C21"/>
    <w:rsid w:val="007A2773"/>
    <w:rsid w:val="007B5B61"/>
    <w:rsid w:val="007B7DBE"/>
    <w:rsid w:val="00812C00"/>
    <w:rsid w:val="00834A04"/>
    <w:rsid w:val="00853DAE"/>
    <w:rsid w:val="0088313B"/>
    <w:rsid w:val="008974C6"/>
    <w:rsid w:val="008C3F45"/>
    <w:rsid w:val="008E64C3"/>
    <w:rsid w:val="00907444"/>
    <w:rsid w:val="0092314C"/>
    <w:rsid w:val="00924D89"/>
    <w:rsid w:val="009310C4"/>
    <w:rsid w:val="009324AC"/>
    <w:rsid w:val="00945564"/>
    <w:rsid w:val="00953460"/>
    <w:rsid w:val="00985ADB"/>
    <w:rsid w:val="00986E87"/>
    <w:rsid w:val="009961DA"/>
    <w:rsid w:val="009B3C62"/>
    <w:rsid w:val="009D150A"/>
    <w:rsid w:val="009F3569"/>
    <w:rsid w:val="009F4EF7"/>
    <w:rsid w:val="00A32679"/>
    <w:rsid w:val="00A32C5F"/>
    <w:rsid w:val="00A51D58"/>
    <w:rsid w:val="00A62687"/>
    <w:rsid w:val="00AD09D2"/>
    <w:rsid w:val="00AD0DB5"/>
    <w:rsid w:val="00AE5117"/>
    <w:rsid w:val="00AF1B37"/>
    <w:rsid w:val="00B016D2"/>
    <w:rsid w:val="00B157F0"/>
    <w:rsid w:val="00B42757"/>
    <w:rsid w:val="00B52DB2"/>
    <w:rsid w:val="00BD687C"/>
    <w:rsid w:val="00C01E34"/>
    <w:rsid w:val="00C02AC5"/>
    <w:rsid w:val="00C06AF5"/>
    <w:rsid w:val="00C35FCE"/>
    <w:rsid w:val="00C41E54"/>
    <w:rsid w:val="00C57BD1"/>
    <w:rsid w:val="00C9351A"/>
    <w:rsid w:val="00CE71B6"/>
    <w:rsid w:val="00D624AF"/>
    <w:rsid w:val="00D8148E"/>
    <w:rsid w:val="00D90E16"/>
    <w:rsid w:val="00DC31D9"/>
    <w:rsid w:val="00DC3A24"/>
    <w:rsid w:val="00DD249F"/>
    <w:rsid w:val="00E23184"/>
    <w:rsid w:val="00E24D97"/>
    <w:rsid w:val="00E45B94"/>
    <w:rsid w:val="00E52F08"/>
    <w:rsid w:val="00E90A84"/>
    <w:rsid w:val="00ED576A"/>
    <w:rsid w:val="00EF4B54"/>
    <w:rsid w:val="00F07868"/>
    <w:rsid w:val="00F15E32"/>
    <w:rsid w:val="00F62378"/>
    <w:rsid w:val="00F869C9"/>
    <w:rsid w:val="00F94175"/>
    <w:rsid w:val="00FD3D5F"/>
    <w:rsid w:val="00FD735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AA0"/>
    <w:rPr>
      <w:color w:val="808080"/>
    </w:rPr>
  </w:style>
  <w:style w:type="paragraph" w:customStyle="1" w:styleId="62C108170A664336B30197F6098ECD7A">
    <w:name w:val="62C108170A664336B30197F6098ECD7A"/>
    <w:rsid w:val="00030B6E"/>
    <w:rPr>
      <w:kern w:val="2"/>
      <w:lang w:val="de-DE" w:eastAsia="de-DE"/>
      <w14:ligatures w14:val="standardContextual"/>
    </w:rPr>
  </w:style>
  <w:style w:type="paragraph" w:customStyle="1" w:styleId="DB10544CBB1845528D7713F9A11235DF">
    <w:name w:val="DB10544CBB1845528D7713F9A11235DF"/>
    <w:rsid w:val="00254AA0"/>
    <w:rPr>
      <w:lang w:val="de-DE" w:eastAsia="de-DE"/>
    </w:rPr>
  </w:style>
  <w:style w:type="paragraph" w:customStyle="1" w:styleId="49CAE3E48F904FF2BAEFA9662899751F">
    <w:name w:val="49CAE3E48F904FF2BAEFA9662899751F"/>
    <w:rsid w:val="00254AA0"/>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6.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B2D34-79B5-4659-AE46-A5D844CC0437}">
  <ds:schemaRefs/>
</ds:datastoreItem>
</file>

<file path=customXml/itemProps2.xml><?xml version="1.0" encoding="utf-8"?>
<ds:datastoreItem xmlns:ds="http://schemas.openxmlformats.org/officeDocument/2006/customXml" ds:itemID="{C231B3FA-EFAF-425D-BCB1-363F02CA1CCF}">
  <ds:schemaRefs>
    <ds:schemaRef ds:uri="http://schemas.openxmlformats.org/officeDocument/2006/bibliography"/>
  </ds:schemaRefs>
</ds:datastoreItem>
</file>

<file path=customXml/itemProps3.xml><?xml version="1.0" encoding="utf-8"?>
<ds:datastoreItem xmlns:ds="http://schemas.openxmlformats.org/officeDocument/2006/customXml" ds:itemID="{BA995EFF-7ACA-454C-B577-9DAA93E65137}">
  <ds:schemaRefs>
    <ds:schemaRef ds:uri="http://schemas.microsoft.com/sharepoint/v3/contenttype/forms"/>
  </ds:schemaRefs>
</ds:datastoreItem>
</file>

<file path=customXml/itemProps4.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B7F8D-BD53-462E-88C7-1C4F0C86765C}">
  <ds:schemaRefs/>
</ds:datastoreItem>
</file>

<file path=customXml/itemProps6.xml><?xml version="1.0" encoding="utf-8"?>
<ds:datastoreItem xmlns:ds="http://schemas.openxmlformats.org/officeDocument/2006/customXml" ds:itemID="{8C1BB6F3-C768-4A34-ADEF-3254FF58F96D}">
  <ds:schemaRefs/>
</ds:datastoreItem>
</file>

<file path=customXml/itemProps7.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0</TotalTime>
  <Pages>6</Pages>
  <Words>1634</Words>
  <Characters>33901</Characters>
  <Application>Microsoft Office Word</Application>
  <DocSecurity>0</DocSecurity>
  <PresentationFormat>Microsoft Word 11.0</PresentationFormat>
  <Lines>282</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35465</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14</cp:revision>
  <cp:lastPrinted>2023-09-01T14:21:00Z</cp:lastPrinted>
  <dcterms:created xsi:type="dcterms:W3CDTF">2023-10-30T08:00:00Z</dcterms:created>
  <dcterms:modified xsi:type="dcterms:W3CDTF">2023-11-10T15:21:00Z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1">
    <vt:lpwstr>Überschrift 1;1 Heading 1;2 Headline 1</vt:lpwstr>
  </property>
  <property fmtid="{D5CDD505-2E9C-101B-9397-08002B2CF9AE}" pid="4" name="CitaviDocumentProperty_12">
    <vt:lpwstr>Standard</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6">
    <vt:lpwstr>Untertitel</vt:lpwstr>
  </property>
  <property fmtid="{D5CDD505-2E9C-101B-9397-08002B2CF9AE}" pid="8" name="CitaviDocumentProperty_17">
    <vt:lpwstr>Standard</vt:lpwstr>
  </property>
  <property fmtid="{D5CDD505-2E9C-101B-9397-08002B2CF9AE}" pid="9" name="CitaviDocumentProperty_26">
    <vt:lpwstr>References</vt:lpwstr>
  </property>
  <property fmtid="{D5CDD505-2E9C-101B-9397-08002B2CF9AE}" pid="10" name="CitaviDocumentProperty_27">
    <vt:lpwstr>True</vt:lpwstr>
  </property>
  <property fmtid="{D5CDD505-2E9C-101B-9397-08002B2CF9AE}" pid="11" name="CitaviDocumentProperty_6">
    <vt:lpwstr>True</vt:lpwstr>
  </property>
  <property fmtid="{D5CDD505-2E9C-101B-9397-08002B2CF9AE}" pid="12" name="CitaviDocumentProperty_9">
    <vt:lpwstr>False</vt:lpwstr>
  </property>
  <property fmtid="{D5CDD505-2E9C-101B-9397-08002B2CF9AE}" pid="13" name="ContentTypeId">
    <vt:lpwstr>0x01010037D05B925D233C48BC6CC3C793A4C1B6</vt:lpwstr>
  </property>
  <property fmtid="{D5CDD505-2E9C-101B-9397-08002B2CF9AE}" pid="14" name="Created using">
    <vt:lpwstr>EL 4.1XL XL [20040326]</vt:lpwstr>
  </property>
  <property fmtid="{D5CDD505-2E9C-101B-9397-08002B2CF9AE}" pid="15" name="DocID_EU">
    <vt:lpwstr> </vt:lpwstr>
  </property>
  <property fmtid="{D5CDD505-2E9C-101B-9397-08002B2CF9AE}" pid="16" name="ELDocType">
    <vt:lpwstr>rep.dot</vt:lpwstr>
  </property>
  <property fmtid="{D5CDD505-2E9C-101B-9397-08002B2CF9AE}" pid="17" name="EL_Author">
    <vt:lpwstr>Yolande Petit</vt:lpwstr>
  </property>
  <property fmtid="{D5CDD505-2E9C-101B-9397-08002B2CF9AE}" pid="18" name="EL_Language">
    <vt:lpwstr>FR</vt:lpwstr>
  </property>
  <property fmtid="{D5CDD505-2E9C-101B-9397-08002B2CF9AE}" pid="19" name="EurolookVersion">
    <vt:lpwstr>4.1</vt:lpwstr>
  </property>
  <property fmtid="{D5CDD505-2E9C-101B-9397-08002B2CF9AE}" pid="20" name="Formatting">
    <vt:lpwstr>4.1</vt:lpwstr>
  </property>
  <property fmtid="{D5CDD505-2E9C-101B-9397-08002B2CF9AE}" pid="21" name="Language">
    <vt:lpwstr>FR</vt:lpwstr>
  </property>
  <property fmtid="{D5CDD505-2E9C-101B-9397-08002B2CF9AE}" pid="22" name="Last edited using">
    <vt:lpwstr>EL 4.6 Build 34000</vt:lpwstr>
  </property>
  <property fmtid="{D5CDD505-2E9C-101B-9397-08002B2CF9AE}" pid="23" name="NXPowerLiteLastOptimized">
    <vt:lpwstr>2735890</vt:lpwstr>
  </property>
  <property fmtid="{D5CDD505-2E9C-101B-9397-08002B2CF9AE}" pid="24" name="NXPowerLiteSettings">
    <vt:lpwstr>C700052003A000</vt:lpwstr>
  </property>
  <property fmtid="{D5CDD505-2E9C-101B-9397-08002B2CF9AE}" pid="25" name="NXPowerLiteVersion">
    <vt:lpwstr>D9.1.2</vt:lpwstr>
  </property>
  <property fmtid="{D5CDD505-2E9C-101B-9397-08002B2CF9AE}" pid="26" name="TemplateVersion">
    <vt:lpwstr>4.1.5.8</vt:lpwstr>
  </property>
  <property fmtid="{D5CDD505-2E9C-101B-9397-08002B2CF9AE}" pid="27" name="Type">
    <vt:lpwstr>Eurolook Report</vt:lpwstr>
  </property>
  <property fmtid="{D5CDD505-2E9C-101B-9397-08002B2CF9AE}" pid="28" name="MSIP_Label_f4cdc456-5864-460f-beda-883d23b78bbb_Enabled">
    <vt:lpwstr>true</vt:lpwstr>
  </property>
  <property fmtid="{D5CDD505-2E9C-101B-9397-08002B2CF9AE}" pid="29" name="MSIP_Label_f4cdc456-5864-460f-beda-883d23b78bbb_SetDate">
    <vt:lpwstr>2022-12-12T09:10:13Z</vt:lpwstr>
  </property>
  <property fmtid="{D5CDD505-2E9C-101B-9397-08002B2CF9AE}" pid="30" name="MSIP_Label_f4cdc456-5864-460f-beda-883d23b78bbb_Method">
    <vt:lpwstr>Privileged</vt:lpwstr>
  </property>
  <property fmtid="{D5CDD505-2E9C-101B-9397-08002B2CF9AE}" pid="31" name="MSIP_Label_f4cdc456-5864-460f-beda-883d23b78bbb_Name">
    <vt:lpwstr>Publicly Available</vt:lpwstr>
  </property>
  <property fmtid="{D5CDD505-2E9C-101B-9397-08002B2CF9AE}" pid="32" name="MSIP_Label_f4cdc456-5864-460f-beda-883d23b78bbb_SiteId">
    <vt:lpwstr>b24c8b06-522c-46fe-9080-70926f8dddb1</vt:lpwstr>
  </property>
  <property fmtid="{D5CDD505-2E9C-101B-9397-08002B2CF9AE}" pid="33" name="MSIP_Label_f4cdc456-5864-460f-beda-883d23b78bbb_ActionId">
    <vt:lpwstr>a561ba6f-a714-4d66-bef1-a06577711c5e</vt:lpwstr>
  </property>
  <property fmtid="{D5CDD505-2E9C-101B-9397-08002B2CF9AE}" pid="34" name="MSIP_Label_f4cdc456-5864-460f-beda-883d23b78bbb_ContentBits">
    <vt:lpwstr>0</vt:lpwstr>
  </property>
  <property fmtid="{D5CDD505-2E9C-101B-9397-08002B2CF9AE}" pid="35" name="GrammarlyDocumentId">
    <vt:lpwstr>7b3dd7cc7103dfd4c547a8ea4d1db644af3e978e04f2ddbe742783769a5a2b4b</vt:lpwstr>
  </property>
  <property fmtid="{D5CDD505-2E9C-101B-9397-08002B2CF9AE}" pid="36" name="CitaviDocumentProperty_7">
    <vt:lpwstr>Ex_III-15_RoHS29_OD</vt:lpwstr>
  </property>
  <property fmtid="{D5CDD505-2E9C-101B-9397-08002B2CF9AE}" pid="37" name="CitaviDocumentProperty_8">
    <vt:lpwstr>C:\Users\OtmarDEUBZER\Documents\SynologyDrive\RoHS 29_P27\3 Exemptions\III-15\Ex_III-15_RoHS29_OD.ctv6</vt:lpwstr>
  </property>
  <property fmtid="{D5CDD505-2E9C-101B-9397-08002B2CF9AE}" pid="38" name="CitaviDocumentProperty_1">
    <vt:lpwstr>6.14.0.0</vt:lpwstr>
  </property>
</Properties>
</file>